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573CE6" w14:textId="77777777" w:rsidR="00F1582E" w:rsidRDefault="00F1582E" w:rsidP="00F1582E">
      <w:pPr>
        <w:rPr>
          <w:lang w:val="en-GB"/>
        </w:rPr>
      </w:pPr>
    </w:p>
    <w:p w14:paraId="46C832E6" w14:textId="77777777" w:rsidR="00F1582E" w:rsidRDefault="00F1582E" w:rsidP="00F1582E">
      <w:pPr>
        <w:rPr>
          <w:lang w:val="en-GB"/>
        </w:rPr>
      </w:pPr>
    </w:p>
    <w:p w14:paraId="09557866" w14:textId="77777777" w:rsidR="00F1582E" w:rsidRDefault="00F1582E" w:rsidP="00F1582E">
      <w:pPr>
        <w:rPr>
          <w:lang w:val="en-GB"/>
        </w:rPr>
      </w:pPr>
    </w:p>
    <w:p w14:paraId="2EF8A88A" w14:textId="77777777" w:rsidR="00F1582E" w:rsidRDefault="00F1582E" w:rsidP="00F1582E">
      <w:pPr>
        <w:rPr>
          <w:lang w:val="en-GB"/>
        </w:rPr>
      </w:pPr>
    </w:p>
    <w:p w14:paraId="1466748D" w14:textId="77777777" w:rsidR="00F1582E" w:rsidRDefault="00F1582E" w:rsidP="00F1582E">
      <w:pPr>
        <w:rPr>
          <w:lang w:val="en-GB"/>
        </w:rPr>
      </w:pPr>
    </w:p>
    <w:p w14:paraId="39920476" w14:textId="77777777" w:rsidR="00E9172C" w:rsidRDefault="00E9172C" w:rsidP="00F1582E">
      <w:pPr>
        <w:rPr>
          <w:lang w:val="en-GB"/>
        </w:rPr>
      </w:pPr>
    </w:p>
    <w:p w14:paraId="31C20865" w14:textId="77777777" w:rsidR="00E9172C" w:rsidRDefault="00E9172C" w:rsidP="00F1582E">
      <w:pPr>
        <w:rPr>
          <w:lang w:val="en-GB"/>
        </w:rPr>
      </w:pPr>
    </w:p>
    <w:p w14:paraId="7BC8E93F" w14:textId="77777777" w:rsidR="00E9172C" w:rsidRDefault="00E9172C" w:rsidP="00F1582E">
      <w:pPr>
        <w:rPr>
          <w:lang w:val="en-GB"/>
        </w:rPr>
      </w:pPr>
    </w:p>
    <w:p w14:paraId="65A91EEE" w14:textId="77777777" w:rsidR="00E9172C" w:rsidRDefault="00E9172C" w:rsidP="00F1582E">
      <w:pPr>
        <w:rPr>
          <w:lang w:val="en-GB"/>
        </w:rPr>
      </w:pPr>
    </w:p>
    <w:p w14:paraId="241472D8" w14:textId="77777777" w:rsidR="00E9172C" w:rsidRDefault="00E9172C" w:rsidP="00F1582E">
      <w:pPr>
        <w:rPr>
          <w:lang w:val="en-GB"/>
        </w:rPr>
      </w:pPr>
    </w:p>
    <w:p w14:paraId="3F868EE7" w14:textId="77777777" w:rsidR="00E9172C" w:rsidRDefault="00E9172C" w:rsidP="00F1582E">
      <w:pPr>
        <w:rPr>
          <w:lang w:val="en-GB"/>
        </w:rPr>
      </w:pPr>
    </w:p>
    <w:p w14:paraId="282503DE" w14:textId="77777777" w:rsidR="00E9172C" w:rsidRDefault="00E9172C" w:rsidP="00F1582E">
      <w:pPr>
        <w:rPr>
          <w:lang w:val="en-GB"/>
        </w:rPr>
      </w:pPr>
    </w:p>
    <w:p w14:paraId="2F122E39" w14:textId="77777777" w:rsidR="00E9172C" w:rsidRDefault="00E9172C" w:rsidP="00F1582E">
      <w:pPr>
        <w:rPr>
          <w:lang w:val="en-GB"/>
        </w:rPr>
      </w:pPr>
    </w:p>
    <w:p w14:paraId="6783FAA0" w14:textId="77777777" w:rsidR="00E9172C" w:rsidRDefault="00E9172C" w:rsidP="00F1582E">
      <w:pPr>
        <w:rPr>
          <w:lang w:val="en-GB"/>
        </w:rPr>
      </w:pPr>
    </w:p>
    <w:p w14:paraId="4D32B5A0" w14:textId="77777777" w:rsidR="00E9172C" w:rsidRDefault="00E9172C" w:rsidP="00E9172C">
      <w:pPr>
        <w:pBdr>
          <w:top w:val="single" w:sz="4" w:space="1" w:color="auto"/>
          <w:left w:val="single" w:sz="4" w:space="4" w:color="auto"/>
          <w:bottom w:val="single" w:sz="4" w:space="1" w:color="auto"/>
          <w:right w:val="single" w:sz="4" w:space="4" w:color="auto"/>
        </w:pBdr>
        <w:shd w:val="clear" w:color="auto" w:fill="D9D9D9"/>
        <w:jc w:val="center"/>
        <w:rPr>
          <w:b/>
          <w:bCs/>
          <w:szCs w:val="28"/>
        </w:rPr>
      </w:pPr>
    </w:p>
    <w:p w14:paraId="2D6E8B60" w14:textId="77777777" w:rsidR="00E9172C" w:rsidRPr="00A94488" w:rsidRDefault="00A94488" w:rsidP="00E9172C">
      <w:pPr>
        <w:pBdr>
          <w:top w:val="single" w:sz="4" w:space="1" w:color="auto"/>
          <w:left w:val="single" w:sz="4" w:space="4" w:color="auto"/>
          <w:bottom w:val="single" w:sz="4" w:space="1" w:color="auto"/>
          <w:right w:val="single" w:sz="4" w:space="4" w:color="auto"/>
        </w:pBdr>
        <w:shd w:val="clear" w:color="auto" w:fill="D9D9D9"/>
        <w:jc w:val="center"/>
        <w:rPr>
          <w:rFonts w:ascii="Trajan Pro" w:hAnsi="Trajan Pro"/>
          <w:b/>
          <w:bCs/>
          <w:sz w:val="28"/>
          <w:szCs w:val="28"/>
        </w:rPr>
      </w:pPr>
      <w:r w:rsidRPr="00A94488">
        <w:rPr>
          <w:rFonts w:ascii="Trajan Pro" w:hAnsi="Trajan Pro"/>
          <w:b/>
          <w:bCs/>
          <w:sz w:val="28"/>
          <w:szCs w:val="28"/>
        </w:rPr>
        <w:t xml:space="preserve">CONVENTION </w:t>
      </w:r>
    </w:p>
    <w:p w14:paraId="04E5A9F6" w14:textId="77777777" w:rsidR="00A94488" w:rsidRDefault="00A94488" w:rsidP="00E9172C">
      <w:pPr>
        <w:pBdr>
          <w:top w:val="single" w:sz="4" w:space="1" w:color="auto"/>
          <w:left w:val="single" w:sz="4" w:space="4" w:color="auto"/>
          <w:bottom w:val="single" w:sz="4" w:space="1" w:color="auto"/>
          <w:right w:val="single" w:sz="4" w:space="4" w:color="auto"/>
        </w:pBdr>
        <w:shd w:val="clear" w:color="auto" w:fill="D9D9D9"/>
        <w:jc w:val="center"/>
        <w:rPr>
          <w:rFonts w:ascii="Trajan Pro" w:hAnsi="Trajan Pro"/>
          <w:b/>
          <w:bCs/>
          <w:sz w:val="28"/>
          <w:szCs w:val="28"/>
        </w:rPr>
      </w:pPr>
      <w:r w:rsidRPr="00890AB0">
        <w:rPr>
          <w:rFonts w:ascii="Trajan Pro" w:hAnsi="Trajan Pro"/>
          <w:b/>
          <w:bCs/>
          <w:sz w:val="28"/>
          <w:szCs w:val="28"/>
        </w:rPr>
        <w:t xml:space="preserve">DE DELEGATION DE SERVICE PUBLIC </w:t>
      </w:r>
    </w:p>
    <w:p w14:paraId="79B5EBCD" w14:textId="77777777" w:rsidR="00A94488" w:rsidRDefault="00A94488" w:rsidP="00E9172C">
      <w:pPr>
        <w:pBdr>
          <w:top w:val="single" w:sz="4" w:space="1" w:color="auto"/>
          <w:left w:val="single" w:sz="4" w:space="4" w:color="auto"/>
          <w:bottom w:val="single" w:sz="4" w:space="1" w:color="auto"/>
          <w:right w:val="single" w:sz="4" w:space="4" w:color="auto"/>
        </w:pBdr>
        <w:shd w:val="clear" w:color="auto" w:fill="D9D9D9"/>
        <w:jc w:val="center"/>
        <w:rPr>
          <w:rFonts w:ascii="Trajan Pro" w:hAnsi="Trajan Pro"/>
          <w:b/>
          <w:bCs/>
          <w:sz w:val="28"/>
          <w:szCs w:val="28"/>
        </w:rPr>
      </w:pPr>
      <w:r w:rsidRPr="00890AB0">
        <w:rPr>
          <w:rFonts w:ascii="Trajan Pro" w:hAnsi="Trajan Pro"/>
          <w:b/>
          <w:bCs/>
          <w:sz w:val="28"/>
          <w:szCs w:val="28"/>
        </w:rPr>
        <w:t>POUR L’EXPLOITATIO</w:t>
      </w:r>
      <w:r>
        <w:rPr>
          <w:rFonts w:ascii="Trajan Pro" w:hAnsi="Trajan Pro"/>
          <w:b/>
          <w:bCs/>
          <w:sz w:val="28"/>
          <w:szCs w:val="28"/>
        </w:rPr>
        <w:t xml:space="preserve">N </w:t>
      </w:r>
      <w:r w:rsidRPr="00890AB0">
        <w:rPr>
          <w:rFonts w:ascii="Trajan Pro" w:hAnsi="Trajan Pro"/>
          <w:b/>
          <w:bCs/>
          <w:sz w:val="28"/>
          <w:szCs w:val="28"/>
        </w:rPr>
        <w:t xml:space="preserve">DE LA LIAISON AERIENNE </w:t>
      </w:r>
    </w:p>
    <w:p w14:paraId="53240278" w14:textId="5CB91169" w:rsidR="00E9172C" w:rsidRPr="009D209D" w:rsidRDefault="00A94488" w:rsidP="00E9172C">
      <w:pPr>
        <w:pBdr>
          <w:top w:val="single" w:sz="4" w:space="1" w:color="auto"/>
          <w:left w:val="single" w:sz="4" w:space="4" w:color="auto"/>
          <w:bottom w:val="single" w:sz="4" w:space="1" w:color="auto"/>
          <w:right w:val="single" w:sz="4" w:space="4" w:color="auto"/>
        </w:pBdr>
        <w:shd w:val="clear" w:color="auto" w:fill="D9D9D9"/>
        <w:jc w:val="center"/>
        <w:rPr>
          <w:rFonts w:ascii="Trajan Pro" w:hAnsi="Trajan Pro"/>
          <w:b/>
          <w:bCs/>
          <w:sz w:val="28"/>
          <w:szCs w:val="28"/>
        </w:rPr>
      </w:pPr>
      <w:r w:rsidRPr="009D209D">
        <w:rPr>
          <w:rFonts w:ascii="Trajan Pro" w:hAnsi="Trajan Pro"/>
          <w:b/>
          <w:bCs/>
          <w:sz w:val="28"/>
          <w:szCs w:val="28"/>
        </w:rPr>
        <w:t xml:space="preserve">STRASBOURG </w:t>
      </w:r>
      <w:r w:rsidR="00E9172C" w:rsidRPr="009D209D">
        <w:rPr>
          <w:rFonts w:ascii="Trajan Pro" w:hAnsi="Trajan Pro"/>
          <w:b/>
          <w:bCs/>
          <w:sz w:val="28"/>
          <w:szCs w:val="28"/>
        </w:rPr>
        <w:t xml:space="preserve">– </w:t>
      </w:r>
      <w:r w:rsidR="00963832">
        <w:rPr>
          <w:rFonts w:ascii="Trajan Pro" w:hAnsi="Trajan Pro"/>
          <w:b/>
          <w:bCs/>
          <w:sz w:val="28"/>
          <w:szCs w:val="28"/>
        </w:rPr>
        <w:t>MUNICH</w:t>
      </w:r>
    </w:p>
    <w:p w14:paraId="277F9E1F" w14:textId="77777777" w:rsidR="00E9172C" w:rsidRDefault="00E9172C" w:rsidP="00E9172C">
      <w:pPr>
        <w:pBdr>
          <w:top w:val="single" w:sz="4" w:space="1" w:color="auto"/>
          <w:left w:val="single" w:sz="4" w:space="4" w:color="auto"/>
          <w:bottom w:val="single" w:sz="4" w:space="1" w:color="auto"/>
          <w:right w:val="single" w:sz="4" w:space="4" w:color="auto"/>
        </w:pBdr>
        <w:shd w:val="clear" w:color="auto" w:fill="D9D9D9"/>
        <w:jc w:val="center"/>
        <w:rPr>
          <w:b/>
          <w:bCs/>
          <w:szCs w:val="28"/>
        </w:rPr>
      </w:pPr>
    </w:p>
    <w:p w14:paraId="65E1CDA5" w14:textId="77777777" w:rsidR="00E9172C" w:rsidRDefault="00E9172C" w:rsidP="00E9172C">
      <w:pPr>
        <w:pBdr>
          <w:top w:val="single" w:sz="4" w:space="1" w:color="auto"/>
          <w:left w:val="single" w:sz="4" w:space="4" w:color="auto"/>
          <w:bottom w:val="single" w:sz="4" w:space="1" w:color="auto"/>
          <w:right w:val="single" w:sz="4" w:space="4" w:color="auto"/>
        </w:pBdr>
        <w:shd w:val="clear" w:color="auto" w:fill="D9D9D9"/>
        <w:jc w:val="center"/>
        <w:rPr>
          <w:b/>
          <w:bCs/>
          <w:szCs w:val="28"/>
        </w:rPr>
      </w:pPr>
    </w:p>
    <w:p w14:paraId="229B3099" w14:textId="77777777" w:rsidR="00E9172C" w:rsidRDefault="00E9172C" w:rsidP="00E9172C">
      <w:pPr>
        <w:jc w:val="center"/>
        <w:rPr>
          <w:b/>
          <w:bCs/>
          <w:szCs w:val="28"/>
        </w:rPr>
      </w:pPr>
    </w:p>
    <w:p w14:paraId="36A42883" w14:textId="77777777" w:rsidR="00E9172C" w:rsidRDefault="00E9172C" w:rsidP="00E9172C">
      <w:pPr>
        <w:jc w:val="both"/>
        <w:rPr>
          <w:color w:val="000000"/>
        </w:rPr>
      </w:pPr>
    </w:p>
    <w:p w14:paraId="52B2F5A4" w14:textId="77777777" w:rsidR="00F1582E" w:rsidRDefault="00F1582E" w:rsidP="00F1582E">
      <w:pPr>
        <w:jc w:val="both"/>
        <w:rPr>
          <w:color w:val="000000"/>
        </w:rPr>
      </w:pPr>
    </w:p>
    <w:p w14:paraId="36867C6E" w14:textId="77777777" w:rsidR="00E9172C" w:rsidRDefault="00E9172C" w:rsidP="00F1582E">
      <w:pPr>
        <w:jc w:val="both"/>
        <w:rPr>
          <w:color w:val="000000"/>
        </w:rPr>
      </w:pPr>
    </w:p>
    <w:p w14:paraId="6060585B" w14:textId="77777777" w:rsidR="00E9172C" w:rsidRDefault="00E9172C" w:rsidP="00F1582E">
      <w:pPr>
        <w:jc w:val="both"/>
        <w:rPr>
          <w:color w:val="000000"/>
        </w:rPr>
      </w:pPr>
    </w:p>
    <w:p w14:paraId="6B2A9770" w14:textId="77777777" w:rsidR="00F1582E" w:rsidRDefault="00F1582E" w:rsidP="00F1582E">
      <w:pPr>
        <w:jc w:val="both"/>
        <w:rPr>
          <w:color w:val="000000"/>
        </w:rPr>
      </w:pPr>
    </w:p>
    <w:p w14:paraId="5C00919B" w14:textId="77777777" w:rsidR="00F1582E" w:rsidRDefault="00F1582E" w:rsidP="00F1582E">
      <w:pPr>
        <w:jc w:val="both"/>
        <w:rPr>
          <w:color w:val="000000"/>
        </w:rPr>
      </w:pPr>
    </w:p>
    <w:p w14:paraId="1CDED322" w14:textId="77777777" w:rsidR="00F1582E" w:rsidRDefault="00F1582E" w:rsidP="00F1582E">
      <w:pPr>
        <w:jc w:val="both"/>
        <w:rPr>
          <w:b/>
          <w:bCs/>
          <w:color w:val="000000"/>
          <w:u w:val="single"/>
        </w:rPr>
      </w:pPr>
    </w:p>
    <w:p w14:paraId="2B568171" w14:textId="77777777" w:rsidR="00E9172C" w:rsidRPr="00D01D1E" w:rsidRDefault="00E9172C" w:rsidP="00E9172C">
      <w:pPr>
        <w:jc w:val="center"/>
        <w:rPr>
          <w:rFonts w:ascii="Garamond" w:hAnsi="Garamond" w:cs="Arial"/>
          <w:color w:val="000000"/>
          <w:sz w:val="28"/>
          <w:szCs w:val="28"/>
        </w:rPr>
      </w:pPr>
      <w:r w:rsidRPr="00D01D1E">
        <w:rPr>
          <w:rFonts w:ascii="Garamond" w:hAnsi="Garamond"/>
          <w:color w:val="000000"/>
          <w:sz w:val="28"/>
          <w:szCs w:val="28"/>
        </w:rPr>
        <w:t xml:space="preserve">La présente convention </w:t>
      </w:r>
      <w:proofErr w:type="gramStart"/>
      <w:r w:rsidRPr="00D01D1E">
        <w:rPr>
          <w:rFonts w:ascii="Garamond" w:hAnsi="Garamond"/>
          <w:color w:val="000000"/>
          <w:sz w:val="28"/>
          <w:szCs w:val="28"/>
        </w:rPr>
        <w:t xml:space="preserve">comporte  </w:t>
      </w:r>
      <w:r w:rsidR="00780AB3" w:rsidRPr="00DA3202">
        <w:rPr>
          <w:rFonts w:ascii="Garamond" w:hAnsi="Garamond"/>
          <w:color w:val="FF0000"/>
          <w:sz w:val="28"/>
          <w:szCs w:val="28"/>
        </w:rPr>
        <w:t>XX</w:t>
      </w:r>
      <w:proofErr w:type="gramEnd"/>
      <w:r w:rsidRPr="00D01D1E">
        <w:rPr>
          <w:rFonts w:ascii="Garamond" w:hAnsi="Garamond"/>
          <w:color w:val="000000"/>
          <w:sz w:val="28"/>
          <w:szCs w:val="28"/>
        </w:rPr>
        <w:t xml:space="preserve">  feuillets numérotés de 1 à </w:t>
      </w:r>
      <w:r w:rsidR="00780AB3" w:rsidRPr="00DA3202">
        <w:rPr>
          <w:rFonts w:ascii="Garamond" w:hAnsi="Garamond"/>
          <w:color w:val="FF0000"/>
          <w:sz w:val="28"/>
          <w:szCs w:val="28"/>
        </w:rPr>
        <w:t>XX</w:t>
      </w:r>
      <w:r w:rsidR="00DA3202">
        <w:rPr>
          <w:rFonts w:ascii="Garamond" w:hAnsi="Garamond"/>
          <w:color w:val="FF0000"/>
          <w:sz w:val="28"/>
          <w:szCs w:val="28"/>
        </w:rPr>
        <w:t xml:space="preserve"> (annexes incluses)</w:t>
      </w:r>
    </w:p>
    <w:p w14:paraId="30B08778" w14:textId="77777777" w:rsidR="00EB672F" w:rsidRDefault="00F1582E">
      <w:pPr>
        <w:jc w:val="center"/>
        <w:rPr>
          <w:b/>
          <w:bCs/>
        </w:rPr>
      </w:pPr>
      <w:r>
        <w:rPr>
          <w:b/>
          <w:bCs/>
        </w:rPr>
        <w:br w:type="page"/>
      </w:r>
      <w:r w:rsidR="00EB672F">
        <w:rPr>
          <w:b/>
          <w:bCs/>
        </w:rPr>
        <w:lastRenderedPageBreak/>
        <w:t>La présente convention est conclue entre :</w:t>
      </w:r>
    </w:p>
    <w:p w14:paraId="7F49E201" w14:textId="77777777" w:rsidR="00EB672F" w:rsidRDefault="00EB672F"/>
    <w:p w14:paraId="50703148" w14:textId="77777777" w:rsidR="00EB672F" w:rsidRDefault="006F40D0">
      <w:proofErr w:type="gramStart"/>
      <w:r>
        <w:rPr>
          <w:b/>
          <w:bCs/>
        </w:rPr>
        <w:t>l</w:t>
      </w:r>
      <w:r w:rsidR="00EB672F">
        <w:rPr>
          <w:b/>
          <w:bCs/>
        </w:rPr>
        <w:t>’État</w:t>
      </w:r>
      <w:proofErr w:type="gramEnd"/>
      <w:r w:rsidR="00EB672F">
        <w:t xml:space="preserve">, représenté par le ministre chargé de l’Aviation civile, </w:t>
      </w:r>
    </w:p>
    <w:p w14:paraId="7B1F66CD" w14:textId="77777777" w:rsidR="00EB672F" w:rsidRDefault="00EB672F"/>
    <w:p w14:paraId="7EB7C9E5" w14:textId="77777777" w:rsidR="008C3CB4" w:rsidRPr="00A94488" w:rsidRDefault="00EB672F" w:rsidP="009C0C29">
      <w:pPr>
        <w:jc w:val="both"/>
      </w:pPr>
      <w:proofErr w:type="gramStart"/>
      <w:r>
        <w:t>et</w:t>
      </w:r>
      <w:proofErr w:type="gramEnd"/>
      <w:r>
        <w:br/>
      </w:r>
      <w:r>
        <w:br/>
      </w:r>
      <w:r w:rsidR="00A94488" w:rsidRPr="00A94488">
        <w:rPr>
          <w:b/>
          <w:bCs/>
        </w:rPr>
        <w:t>La chambre de comme</w:t>
      </w:r>
      <w:r w:rsidR="003B4417">
        <w:rPr>
          <w:b/>
          <w:bCs/>
        </w:rPr>
        <w:t>rce et d’industrie Alsace Euromé</w:t>
      </w:r>
      <w:r w:rsidR="00A94488" w:rsidRPr="00A94488">
        <w:rPr>
          <w:b/>
          <w:bCs/>
        </w:rPr>
        <w:t>tropole</w:t>
      </w:r>
    </w:p>
    <w:p w14:paraId="6BC9471B" w14:textId="3173CE7D" w:rsidR="008D3852" w:rsidRPr="00A94488" w:rsidRDefault="00EB672F">
      <w:pPr>
        <w:rPr>
          <w:color w:val="000000"/>
        </w:rPr>
      </w:pPr>
      <w:proofErr w:type="gramStart"/>
      <w:r>
        <w:rPr>
          <w:color w:val="000000"/>
        </w:rPr>
        <w:t>représenté</w:t>
      </w:r>
      <w:r w:rsidR="00A94488">
        <w:rPr>
          <w:color w:val="000000"/>
        </w:rPr>
        <w:t>e</w:t>
      </w:r>
      <w:proofErr w:type="gramEnd"/>
      <w:r>
        <w:rPr>
          <w:color w:val="000000"/>
        </w:rPr>
        <w:t xml:space="preserve"> </w:t>
      </w:r>
      <w:r w:rsidRPr="007D6EBA">
        <w:t>par</w:t>
      </w:r>
      <w:r w:rsidR="00A94488">
        <w:t xml:space="preserve"> </w:t>
      </w:r>
      <w:r w:rsidR="00A94488" w:rsidRPr="00A94488">
        <w:rPr>
          <w:color w:val="0000FF"/>
        </w:rPr>
        <w:t xml:space="preserve">son président agissant en qualité de mandataire </w:t>
      </w:r>
      <w:r w:rsidR="0030737D">
        <w:rPr>
          <w:color w:val="0000FF"/>
        </w:rPr>
        <w:t>de la</w:t>
      </w:r>
      <w:r w:rsidR="003B4417">
        <w:rPr>
          <w:color w:val="0000FF"/>
        </w:rPr>
        <w:t xml:space="preserve"> </w:t>
      </w:r>
      <w:r w:rsidR="009F6E1D">
        <w:rPr>
          <w:color w:val="0000FF"/>
        </w:rPr>
        <w:t>Collectivité Européenne d’Alsace (CEA)</w:t>
      </w:r>
      <w:r w:rsidR="003B4417">
        <w:rPr>
          <w:color w:val="0000FF"/>
        </w:rPr>
        <w:t>, de la Région Grand-Est, de la ville et Eurométropole de Strasbourg</w:t>
      </w:r>
      <w:r w:rsidR="008B6421">
        <w:rPr>
          <w:color w:val="0000FF"/>
        </w:rPr>
        <w:t>.</w:t>
      </w:r>
    </w:p>
    <w:p w14:paraId="23B9CCD3" w14:textId="77777777" w:rsidR="00A94488" w:rsidRDefault="00A94488">
      <w:pPr>
        <w:rPr>
          <w:b/>
          <w:bCs/>
          <w:color w:val="000000"/>
        </w:rPr>
      </w:pPr>
    </w:p>
    <w:p w14:paraId="29F3716D" w14:textId="77777777" w:rsidR="00A94488" w:rsidRPr="00A94488" w:rsidRDefault="00A94488">
      <w:pPr>
        <w:rPr>
          <w:bCs/>
          <w:color w:val="000000"/>
        </w:rPr>
      </w:pPr>
      <w:proofErr w:type="gramStart"/>
      <w:r w:rsidRPr="00A94488">
        <w:rPr>
          <w:bCs/>
          <w:color w:val="000000"/>
        </w:rPr>
        <w:t>tous</w:t>
      </w:r>
      <w:proofErr w:type="gramEnd"/>
      <w:r w:rsidRPr="00A94488">
        <w:rPr>
          <w:bCs/>
          <w:color w:val="000000"/>
        </w:rPr>
        <w:t xml:space="preserve"> deux désignés sous le terme de « Etat » et « Chambre de commerce et d’industrie Alsace </w:t>
      </w:r>
      <w:proofErr w:type="spellStart"/>
      <w:r w:rsidRPr="00A94488">
        <w:rPr>
          <w:bCs/>
          <w:color w:val="000000"/>
        </w:rPr>
        <w:t>Eurometropole</w:t>
      </w:r>
      <w:proofErr w:type="spellEnd"/>
      <w:r w:rsidRPr="00A94488">
        <w:rPr>
          <w:bCs/>
          <w:color w:val="000000"/>
        </w:rPr>
        <w:t> » ou, ensemble, de « parties concourant au financement »</w:t>
      </w:r>
    </w:p>
    <w:p w14:paraId="7B5333F7" w14:textId="77777777" w:rsidR="00A94488" w:rsidRDefault="00A94488">
      <w:pPr>
        <w:tabs>
          <w:tab w:val="left" w:pos="1545"/>
        </w:tabs>
      </w:pPr>
    </w:p>
    <w:p w14:paraId="41FD94F9" w14:textId="77777777" w:rsidR="007D6EBA" w:rsidRPr="00EF7154" w:rsidRDefault="00A94488">
      <w:pPr>
        <w:tabs>
          <w:tab w:val="left" w:pos="1545"/>
        </w:tabs>
        <w:rPr>
          <w:b/>
          <w:bCs/>
          <w:color w:val="008000"/>
        </w:rPr>
      </w:pPr>
      <w:proofErr w:type="gramStart"/>
      <w:r w:rsidRPr="00A94488">
        <w:t>d’une</w:t>
      </w:r>
      <w:proofErr w:type="gramEnd"/>
      <w:r w:rsidRPr="00A94488">
        <w:t xml:space="preserve"> part,</w:t>
      </w:r>
      <w:r w:rsidR="00EB672F">
        <w:tab/>
      </w:r>
      <w:r w:rsidR="00EB672F">
        <w:br/>
        <w:t>et</w:t>
      </w:r>
      <w:r w:rsidR="00EB672F">
        <w:br/>
      </w:r>
      <w:r w:rsidR="00EB672F">
        <w:br/>
      </w:r>
      <w:r w:rsidR="007D6EBA" w:rsidRPr="00EF7154">
        <w:rPr>
          <w:b/>
          <w:bCs/>
          <w:color w:val="008000"/>
        </w:rPr>
        <w:t>(Nom à remplir par le candidat)</w:t>
      </w:r>
    </w:p>
    <w:p w14:paraId="3848F33E" w14:textId="77777777" w:rsidR="00EB672F" w:rsidRPr="00EF7154" w:rsidRDefault="007D6EBA" w:rsidP="007D6EBA">
      <w:pPr>
        <w:tabs>
          <w:tab w:val="left" w:pos="1545"/>
        </w:tabs>
        <w:rPr>
          <w:b/>
          <w:bCs/>
          <w:color w:val="008000"/>
        </w:rPr>
      </w:pPr>
      <w:r w:rsidRPr="00EF7154">
        <w:rPr>
          <w:b/>
          <w:bCs/>
          <w:color w:val="008000"/>
        </w:rPr>
        <w:t>(Adresse à remplir par le candidat)</w:t>
      </w:r>
      <w:r w:rsidR="00EB672F" w:rsidRPr="00EF7154">
        <w:rPr>
          <w:b/>
          <w:bCs/>
          <w:color w:val="008000"/>
        </w:rPr>
        <w:t xml:space="preserve"> </w:t>
      </w:r>
    </w:p>
    <w:p w14:paraId="61A862BE" w14:textId="77777777" w:rsidR="006F40D0" w:rsidRPr="00EF7154" w:rsidRDefault="006F40D0">
      <w:pPr>
        <w:rPr>
          <w:bCs/>
          <w:color w:val="008000"/>
        </w:rPr>
      </w:pPr>
      <w:proofErr w:type="gramStart"/>
      <w:r>
        <w:rPr>
          <w:bCs/>
        </w:rPr>
        <w:t>représentée</w:t>
      </w:r>
      <w:proofErr w:type="gramEnd"/>
      <w:r>
        <w:rPr>
          <w:bCs/>
        </w:rPr>
        <w:t xml:space="preserve"> par </w:t>
      </w:r>
      <w:r w:rsidR="007D6EBA" w:rsidRPr="00EF7154">
        <w:rPr>
          <w:b/>
          <w:bCs/>
          <w:color w:val="008000"/>
        </w:rPr>
        <w:t>(nom et fonction à remplir par le candidat)</w:t>
      </w:r>
    </w:p>
    <w:p w14:paraId="13E10F55" w14:textId="77777777" w:rsidR="00EB672F" w:rsidRDefault="001E571A">
      <w:r>
        <w:t xml:space="preserve"> </w:t>
      </w:r>
      <w:r w:rsidR="00EB672F">
        <w:t xml:space="preserve">      </w:t>
      </w:r>
    </w:p>
    <w:p w14:paraId="3C15F078" w14:textId="77777777" w:rsidR="00EB672F" w:rsidRDefault="00EB672F">
      <w:proofErr w:type="gramStart"/>
      <w:r>
        <w:t>désignée</w:t>
      </w:r>
      <w:proofErr w:type="gramEnd"/>
      <w:r>
        <w:t xml:space="preserve"> sous</w:t>
      </w:r>
      <w:r w:rsidR="008D3852">
        <w:t xml:space="preserve"> le vocable de « transporteur »,</w:t>
      </w:r>
    </w:p>
    <w:p w14:paraId="30B6F51A" w14:textId="77777777" w:rsidR="00EB672F" w:rsidRDefault="00EB672F">
      <w:proofErr w:type="gramStart"/>
      <w:r>
        <w:t>d’autre</w:t>
      </w:r>
      <w:proofErr w:type="gramEnd"/>
      <w:r>
        <w:t xml:space="preserve"> part.</w:t>
      </w:r>
    </w:p>
    <w:p w14:paraId="75E5A130" w14:textId="77777777" w:rsidR="00EB672F" w:rsidRDefault="00EB672F"/>
    <w:p w14:paraId="056597DE" w14:textId="77777777" w:rsidR="00EB672F" w:rsidRDefault="00EB672F">
      <w:pPr>
        <w:rPr>
          <w:color w:val="000000"/>
        </w:rPr>
      </w:pPr>
    </w:p>
    <w:p w14:paraId="257FC2A4" w14:textId="77777777" w:rsidR="00EB672F" w:rsidRDefault="00EB672F">
      <w:pPr>
        <w:pBdr>
          <w:top w:val="single" w:sz="4" w:space="1" w:color="auto"/>
          <w:left w:val="single" w:sz="4" w:space="4" w:color="auto"/>
          <w:bottom w:val="single" w:sz="4" w:space="1" w:color="auto"/>
          <w:right w:val="single" w:sz="4" w:space="4" w:color="auto"/>
        </w:pBdr>
        <w:shd w:val="clear" w:color="auto" w:fill="FFFF99"/>
        <w:jc w:val="both"/>
        <w:rPr>
          <w:b/>
          <w:bCs/>
        </w:rPr>
      </w:pPr>
      <w:r>
        <w:rPr>
          <w:b/>
          <w:bCs/>
        </w:rPr>
        <w:t>Article 1 : Objet de la convention</w:t>
      </w:r>
    </w:p>
    <w:p w14:paraId="315AE0C0" w14:textId="77777777" w:rsidR="00EE1D64" w:rsidRDefault="00EE1D64">
      <w:pPr>
        <w:jc w:val="both"/>
      </w:pPr>
    </w:p>
    <w:p w14:paraId="066CF10F" w14:textId="51DE6016" w:rsidR="00EB672F" w:rsidRDefault="00EB672F">
      <w:pPr>
        <w:jc w:val="both"/>
        <w:rPr>
          <w:bCs/>
        </w:rPr>
      </w:pPr>
      <w:r>
        <w:t xml:space="preserve">La présente convention de délégation de service public a pour objet l’exploitation, en exclusivité, de la liaison </w:t>
      </w:r>
      <w:r w:rsidRPr="009D209D">
        <w:t xml:space="preserve">aérienne </w:t>
      </w:r>
      <w:r w:rsidR="009D209D" w:rsidRPr="009D209D">
        <w:rPr>
          <w:bCs/>
        </w:rPr>
        <w:t>Strasbourg –</w:t>
      </w:r>
      <w:r w:rsidR="00FB17B7" w:rsidRPr="009D209D">
        <w:rPr>
          <w:bCs/>
        </w:rPr>
        <w:t xml:space="preserve"> </w:t>
      </w:r>
      <w:r w:rsidR="00963832">
        <w:rPr>
          <w:bCs/>
        </w:rPr>
        <w:t>Munich</w:t>
      </w:r>
      <w:r w:rsidRPr="009D209D">
        <w:rPr>
          <w:bCs/>
        </w:rPr>
        <w:t>.</w:t>
      </w:r>
    </w:p>
    <w:p w14:paraId="1C686E9E" w14:textId="77777777" w:rsidR="00EB672F" w:rsidRDefault="00EB672F">
      <w:pPr>
        <w:rPr>
          <w:b/>
          <w:bCs/>
        </w:rPr>
      </w:pPr>
    </w:p>
    <w:p w14:paraId="6D6876A4" w14:textId="77777777" w:rsidR="00C077E4" w:rsidRDefault="00C077E4">
      <w:pPr>
        <w:rPr>
          <w:b/>
          <w:bCs/>
        </w:rPr>
      </w:pPr>
    </w:p>
    <w:p w14:paraId="5B9C6A36" w14:textId="77777777" w:rsidR="00EB672F" w:rsidRDefault="00EB672F">
      <w:pPr>
        <w:pBdr>
          <w:top w:val="single" w:sz="4" w:space="1" w:color="auto"/>
          <w:left w:val="single" w:sz="4" w:space="4" w:color="auto"/>
          <w:bottom w:val="single" w:sz="4" w:space="1" w:color="auto"/>
          <w:right w:val="single" w:sz="4" w:space="4" w:color="auto"/>
        </w:pBdr>
        <w:shd w:val="clear" w:color="auto" w:fill="FFFF99"/>
        <w:jc w:val="both"/>
        <w:rPr>
          <w:b/>
          <w:bCs/>
        </w:rPr>
      </w:pPr>
      <w:r>
        <w:rPr>
          <w:b/>
          <w:bCs/>
        </w:rPr>
        <w:t>Article 2 : Durée de la convention</w:t>
      </w:r>
    </w:p>
    <w:p w14:paraId="1AA3848B" w14:textId="77777777" w:rsidR="00EB672F" w:rsidRDefault="00EB672F">
      <w:pPr>
        <w:pStyle w:val="NormalWeb"/>
        <w:spacing w:before="0" w:beforeAutospacing="0" w:after="0" w:afterAutospacing="0"/>
        <w:jc w:val="both"/>
        <w:rPr>
          <w:rFonts w:ascii="Times New Roman" w:hAnsi="Times New Roman" w:cs="Times New Roman"/>
          <w:sz w:val="24"/>
          <w:szCs w:val="24"/>
        </w:rPr>
      </w:pPr>
    </w:p>
    <w:p w14:paraId="0E2083B1" w14:textId="11C7CA08" w:rsidR="00EB672F" w:rsidRPr="00A94488" w:rsidRDefault="004307EB">
      <w:pPr>
        <w:pStyle w:val="NormalWeb"/>
        <w:spacing w:before="0" w:beforeAutospacing="0" w:after="0" w:afterAutospacing="0"/>
        <w:jc w:val="both"/>
        <w:rPr>
          <w:rFonts w:ascii="Times New Roman" w:hAnsi="Times New Roman" w:cs="Times New Roman"/>
          <w:color w:val="auto"/>
          <w:sz w:val="24"/>
          <w:szCs w:val="24"/>
        </w:rPr>
      </w:pPr>
      <w:r w:rsidRPr="00FD6A92">
        <w:rPr>
          <w:rFonts w:ascii="Times New Roman" w:hAnsi="Times New Roman" w:cs="Times New Roman"/>
          <w:sz w:val="24"/>
          <w:szCs w:val="24"/>
        </w:rPr>
        <w:t xml:space="preserve">Sous réserve des clauses de résiliation prévues à l’article 8, </w:t>
      </w:r>
      <w:r>
        <w:rPr>
          <w:rFonts w:ascii="Times New Roman" w:hAnsi="Times New Roman" w:cs="Times New Roman"/>
          <w:sz w:val="24"/>
          <w:szCs w:val="24"/>
        </w:rPr>
        <w:t xml:space="preserve">la présente convention est valable </w:t>
      </w:r>
      <w:r w:rsidRPr="00A94488">
        <w:rPr>
          <w:rFonts w:ascii="Times New Roman" w:hAnsi="Times New Roman" w:cs="Times New Roman"/>
          <w:color w:val="auto"/>
          <w:sz w:val="24"/>
          <w:szCs w:val="24"/>
        </w:rPr>
        <w:t xml:space="preserve">à compter du </w:t>
      </w:r>
      <w:r w:rsidR="00963832" w:rsidRPr="00963832">
        <w:rPr>
          <w:rFonts w:ascii="Times New Roman" w:hAnsi="Times New Roman" w:cs="Times New Roman"/>
          <w:color w:val="auto"/>
          <w:sz w:val="24"/>
          <w:szCs w:val="24"/>
        </w:rPr>
        <w:t>9 avril 2026</w:t>
      </w:r>
      <w:r w:rsidR="003922A1" w:rsidRPr="00963832">
        <w:rPr>
          <w:rFonts w:ascii="Times New Roman" w:hAnsi="Times New Roman" w:cs="Times New Roman"/>
          <w:color w:val="auto"/>
          <w:sz w:val="24"/>
          <w:szCs w:val="24"/>
        </w:rPr>
        <w:t xml:space="preserve"> </w:t>
      </w:r>
      <w:r w:rsidRPr="00A94488">
        <w:rPr>
          <w:rFonts w:ascii="Times New Roman" w:hAnsi="Times New Roman" w:cs="Times New Roman"/>
          <w:color w:val="auto"/>
          <w:sz w:val="24"/>
          <w:szCs w:val="24"/>
        </w:rPr>
        <w:t>et prendra fin le</w:t>
      </w:r>
      <w:r w:rsidR="00EF7154" w:rsidRPr="00A94488">
        <w:rPr>
          <w:rFonts w:ascii="Times New Roman" w:hAnsi="Times New Roman" w:cs="Times New Roman"/>
          <w:color w:val="auto"/>
          <w:sz w:val="24"/>
          <w:szCs w:val="24"/>
        </w:rPr>
        <w:t xml:space="preserve"> </w:t>
      </w:r>
      <w:r w:rsidR="00A94488" w:rsidRPr="00A94488">
        <w:rPr>
          <w:rFonts w:ascii="Times New Roman" w:hAnsi="Times New Roman" w:cs="Times New Roman"/>
          <w:color w:val="auto"/>
          <w:sz w:val="24"/>
          <w:szCs w:val="24"/>
        </w:rPr>
        <w:t>8</w:t>
      </w:r>
      <w:r w:rsidR="00EF7154" w:rsidRPr="00A94488">
        <w:rPr>
          <w:rFonts w:ascii="Times New Roman" w:hAnsi="Times New Roman" w:cs="Times New Roman"/>
          <w:color w:val="auto"/>
          <w:sz w:val="24"/>
          <w:szCs w:val="24"/>
        </w:rPr>
        <w:t xml:space="preserve"> </w:t>
      </w:r>
      <w:r w:rsidR="00A94488" w:rsidRPr="00A94488">
        <w:rPr>
          <w:rFonts w:ascii="Times New Roman" w:hAnsi="Times New Roman" w:cs="Times New Roman"/>
          <w:color w:val="auto"/>
          <w:sz w:val="24"/>
          <w:szCs w:val="24"/>
        </w:rPr>
        <w:t>avril 202</w:t>
      </w:r>
      <w:r w:rsidR="007E6D3F">
        <w:rPr>
          <w:rFonts w:ascii="Times New Roman" w:hAnsi="Times New Roman" w:cs="Times New Roman"/>
          <w:color w:val="auto"/>
          <w:sz w:val="24"/>
          <w:szCs w:val="24"/>
        </w:rPr>
        <w:t>8</w:t>
      </w:r>
      <w:r w:rsidR="00163A40" w:rsidRPr="00A94488">
        <w:rPr>
          <w:rFonts w:ascii="Times New Roman" w:hAnsi="Times New Roman" w:cs="Times New Roman"/>
          <w:color w:val="auto"/>
          <w:sz w:val="24"/>
          <w:szCs w:val="24"/>
        </w:rPr>
        <w:t>.</w:t>
      </w:r>
      <w:r w:rsidR="00BB4964" w:rsidRPr="00A94488">
        <w:rPr>
          <w:rFonts w:ascii="Times New Roman" w:hAnsi="Times New Roman" w:cs="Times New Roman"/>
          <w:color w:val="auto"/>
          <w:sz w:val="24"/>
          <w:szCs w:val="24"/>
        </w:rPr>
        <w:t xml:space="preserve"> </w:t>
      </w:r>
    </w:p>
    <w:p w14:paraId="1068E3D0" w14:textId="77777777" w:rsidR="00501A71" w:rsidRDefault="00501A71">
      <w:pPr>
        <w:pStyle w:val="NormalWeb"/>
        <w:spacing w:before="0" w:beforeAutospacing="0" w:after="0" w:afterAutospacing="0"/>
        <w:jc w:val="both"/>
        <w:rPr>
          <w:rFonts w:ascii="Times New Roman" w:hAnsi="Times New Roman" w:cs="Times New Roman"/>
          <w:sz w:val="24"/>
          <w:szCs w:val="24"/>
        </w:rPr>
      </w:pPr>
    </w:p>
    <w:p w14:paraId="22F8531E" w14:textId="77777777" w:rsidR="00EB672F" w:rsidRDefault="00EB672F">
      <w:pPr>
        <w:pStyle w:val="NormalWeb"/>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En cas de résiliation par l’une ou l’autre des parties ainsi qu’à l’échéance du terme contractuel, le transporteur conserve la responsabilité des opérations effectuées pendant la période de validité du contrat.</w:t>
      </w:r>
    </w:p>
    <w:p w14:paraId="2B99745A" w14:textId="77777777" w:rsidR="00EB672F" w:rsidRDefault="00EB672F">
      <w:pPr>
        <w:pStyle w:val="NormalWeb"/>
        <w:spacing w:before="0" w:beforeAutospacing="0" w:after="0" w:afterAutospacing="0"/>
        <w:jc w:val="both"/>
        <w:rPr>
          <w:rFonts w:ascii="Times New Roman" w:hAnsi="Times New Roman" w:cs="Times New Roman"/>
          <w:sz w:val="24"/>
          <w:szCs w:val="24"/>
        </w:rPr>
      </w:pPr>
    </w:p>
    <w:p w14:paraId="39115AFE" w14:textId="77777777" w:rsidR="00EB672F" w:rsidRDefault="00EB672F">
      <w:pPr>
        <w:pStyle w:val="NormalWeb"/>
        <w:spacing w:before="0" w:beforeAutospacing="0" w:after="0" w:afterAutospacing="0"/>
        <w:jc w:val="both"/>
        <w:rPr>
          <w:rFonts w:ascii="Times New Roman" w:hAnsi="Times New Roman" w:cs="Times New Roman"/>
          <w:sz w:val="24"/>
          <w:szCs w:val="24"/>
        </w:rPr>
      </w:pPr>
    </w:p>
    <w:p w14:paraId="69DC81E3" w14:textId="77777777" w:rsidR="00EB672F" w:rsidRDefault="00602372">
      <w:pPr>
        <w:pBdr>
          <w:top w:val="single" w:sz="4" w:space="6" w:color="auto"/>
          <w:left w:val="single" w:sz="4" w:space="4" w:color="auto"/>
          <w:bottom w:val="single" w:sz="4" w:space="1" w:color="auto"/>
          <w:right w:val="single" w:sz="4" w:space="4" w:color="auto"/>
        </w:pBdr>
        <w:shd w:val="clear" w:color="auto" w:fill="FFFF99"/>
        <w:jc w:val="both"/>
        <w:rPr>
          <w:b/>
          <w:bCs/>
          <w:color w:val="000000"/>
        </w:rPr>
      </w:pPr>
      <w:r>
        <w:rPr>
          <w:b/>
          <w:bCs/>
          <w:color w:val="000000"/>
        </w:rPr>
        <w:t xml:space="preserve">Article </w:t>
      </w:r>
      <w:r w:rsidR="00EB672F">
        <w:rPr>
          <w:b/>
          <w:bCs/>
          <w:color w:val="000000"/>
        </w:rPr>
        <w:t>3 : Définition du service</w:t>
      </w:r>
    </w:p>
    <w:p w14:paraId="2FE00B33" w14:textId="77777777" w:rsidR="00951ADF" w:rsidRDefault="00951ADF" w:rsidP="00951ADF">
      <w:pPr>
        <w:jc w:val="both"/>
      </w:pPr>
    </w:p>
    <w:p w14:paraId="0A78FA3B" w14:textId="36CF2CFD" w:rsidR="00501A71" w:rsidRDefault="00951ADF">
      <w:pPr>
        <w:jc w:val="both"/>
      </w:pPr>
      <w:r w:rsidRPr="00951ADF">
        <w:t xml:space="preserve">Le service doit être conforme aux obligations de </w:t>
      </w:r>
      <w:r w:rsidRPr="000353A1">
        <w:rPr>
          <w:highlight w:val="yellow"/>
        </w:rPr>
        <w:t xml:space="preserve">service public publiées au </w:t>
      </w:r>
      <w:r w:rsidRPr="000353A1">
        <w:rPr>
          <w:i/>
          <w:iCs/>
          <w:highlight w:val="yellow"/>
        </w:rPr>
        <w:t>Journal officiel</w:t>
      </w:r>
      <w:r w:rsidRPr="000353A1">
        <w:rPr>
          <w:iCs/>
          <w:highlight w:val="yellow"/>
        </w:rPr>
        <w:t xml:space="preserve"> </w:t>
      </w:r>
      <w:r w:rsidRPr="000353A1">
        <w:rPr>
          <w:i/>
          <w:iCs/>
          <w:highlight w:val="yellow"/>
        </w:rPr>
        <w:t>de l’Union européenne</w:t>
      </w:r>
      <w:r w:rsidRPr="000353A1">
        <w:rPr>
          <w:iCs/>
          <w:highlight w:val="yellow"/>
        </w:rPr>
        <w:t xml:space="preserve"> du </w:t>
      </w:r>
      <w:r w:rsidR="00C93048">
        <w:rPr>
          <w:iCs/>
          <w:highlight w:val="yellow"/>
        </w:rPr>
        <w:t xml:space="preserve">XX août </w:t>
      </w:r>
      <w:r w:rsidR="00714297" w:rsidRPr="000353A1">
        <w:rPr>
          <w:iCs/>
          <w:highlight w:val="yellow"/>
        </w:rPr>
        <w:t>202</w:t>
      </w:r>
      <w:r w:rsidR="00C93048">
        <w:rPr>
          <w:iCs/>
          <w:highlight w:val="yellow"/>
        </w:rPr>
        <w:t>5</w:t>
      </w:r>
      <w:r w:rsidRPr="000353A1">
        <w:rPr>
          <w:iCs/>
          <w:highlight w:val="yellow"/>
        </w:rPr>
        <w:t xml:space="preserve">, sous la référence </w:t>
      </w:r>
      <w:r w:rsidR="00714297" w:rsidRPr="000353A1">
        <w:rPr>
          <w:iCs/>
          <w:highlight w:val="yellow"/>
        </w:rPr>
        <w:t>- C/202</w:t>
      </w:r>
      <w:r w:rsidR="00C93048">
        <w:rPr>
          <w:iCs/>
          <w:highlight w:val="yellow"/>
        </w:rPr>
        <w:t>5</w:t>
      </w:r>
      <w:r w:rsidR="00714297" w:rsidRPr="000353A1">
        <w:rPr>
          <w:iCs/>
          <w:highlight w:val="yellow"/>
        </w:rPr>
        <w:t>/</w:t>
      </w:r>
      <w:r w:rsidR="00C93048">
        <w:rPr>
          <w:iCs/>
          <w:highlight w:val="yellow"/>
        </w:rPr>
        <w:t>XXXX</w:t>
      </w:r>
      <w:r w:rsidR="00714297" w:rsidRPr="000353A1">
        <w:rPr>
          <w:iCs/>
          <w:highlight w:val="yellow"/>
        </w:rPr>
        <w:t xml:space="preserve"> </w:t>
      </w:r>
      <w:r w:rsidRPr="000353A1">
        <w:rPr>
          <w:iCs/>
          <w:highlight w:val="yellow"/>
        </w:rPr>
        <w:t xml:space="preserve">relatif à la liaison entre Strasbourg (France) et </w:t>
      </w:r>
      <w:r w:rsidR="00963832" w:rsidRPr="000353A1">
        <w:rPr>
          <w:bCs/>
          <w:highlight w:val="yellow"/>
        </w:rPr>
        <w:t>Munich</w:t>
      </w:r>
      <w:r w:rsidRPr="000353A1">
        <w:rPr>
          <w:iCs/>
          <w:highlight w:val="yellow"/>
        </w:rPr>
        <w:t xml:space="preserve"> (</w:t>
      </w:r>
      <w:r w:rsidR="00963832" w:rsidRPr="000353A1">
        <w:rPr>
          <w:iCs/>
          <w:highlight w:val="yellow"/>
        </w:rPr>
        <w:t>Allemagne)</w:t>
      </w:r>
      <w:r w:rsidRPr="00951ADF">
        <w:rPr>
          <w:iCs/>
          <w:vertAlign w:val="superscript"/>
        </w:rPr>
        <w:t xml:space="preserve"> </w:t>
      </w:r>
      <w:r w:rsidRPr="00951ADF">
        <w:rPr>
          <w:iCs/>
          <w:vertAlign w:val="superscript"/>
        </w:rPr>
        <w:footnoteReference w:id="1"/>
      </w:r>
      <w:r w:rsidRPr="00951ADF">
        <w:t>. Ces obligations sont reproduites dans l’annexe 1 de la présente convention.</w:t>
      </w:r>
    </w:p>
    <w:p w14:paraId="42D105A0" w14:textId="77777777" w:rsidR="00963832" w:rsidRDefault="00963832" w:rsidP="00963832">
      <w:pPr>
        <w:jc w:val="both"/>
      </w:pPr>
      <w:r>
        <w:lastRenderedPageBreak/>
        <w:t>Il est rappelé que toute exploitation de service aérien régulier sur le territoire français est soumise au dépôt préalable d’un programme d’exploitation auprès des autorités aéronautiques françaises, dans les conditions prévues à l’article R. 6412-25 et 26 du code des transports. Ce programme d’exploitation, comprenant notamment le détail des éventuels affrètements, franchises et partages de code, doit être déposé auprès des services de la direction générale de l’Aviation civile au moins un mois avant le début de sa mise en œuvre.</w:t>
      </w:r>
    </w:p>
    <w:p w14:paraId="5E244E99" w14:textId="7F783D35" w:rsidR="00EB672F" w:rsidRDefault="00EB672F">
      <w:pPr>
        <w:jc w:val="both"/>
      </w:pPr>
    </w:p>
    <w:p w14:paraId="31E82105" w14:textId="77777777" w:rsidR="00EB672F" w:rsidRDefault="00EB672F">
      <w:pPr>
        <w:jc w:val="both"/>
      </w:pPr>
    </w:p>
    <w:p w14:paraId="314783B3" w14:textId="77777777" w:rsidR="00EB672F" w:rsidRDefault="00EB672F">
      <w:pPr>
        <w:jc w:val="both"/>
      </w:pPr>
    </w:p>
    <w:p w14:paraId="1F943D6D" w14:textId="77777777" w:rsidR="00EB672F" w:rsidRDefault="00EB672F">
      <w:pPr>
        <w:pBdr>
          <w:top w:val="single" w:sz="4" w:space="6" w:color="auto"/>
          <w:left w:val="single" w:sz="4" w:space="4" w:color="auto"/>
          <w:bottom w:val="single" w:sz="4" w:space="1" w:color="auto"/>
          <w:right w:val="single" w:sz="4" w:space="4" w:color="auto"/>
        </w:pBdr>
        <w:shd w:val="clear" w:color="auto" w:fill="FFFF99"/>
        <w:jc w:val="both"/>
        <w:rPr>
          <w:b/>
          <w:bCs/>
          <w:color w:val="000000"/>
        </w:rPr>
      </w:pPr>
      <w:r>
        <w:rPr>
          <w:b/>
          <w:bCs/>
          <w:color w:val="000000"/>
        </w:rPr>
        <w:t>Article</w:t>
      </w:r>
      <w:r w:rsidR="001E571A">
        <w:rPr>
          <w:b/>
          <w:bCs/>
          <w:color w:val="000000"/>
        </w:rPr>
        <w:t xml:space="preserve"> </w:t>
      </w:r>
      <w:r>
        <w:rPr>
          <w:b/>
          <w:bCs/>
          <w:color w:val="000000"/>
        </w:rPr>
        <w:t>4 : Conditions d’exploitation</w:t>
      </w:r>
    </w:p>
    <w:p w14:paraId="15053872" w14:textId="77777777" w:rsidR="00EB672F" w:rsidRDefault="00EB672F">
      <w:pPr>
        <w:pStyle w:val="NormalWeb"/>
        <w:spacing w:before="0" w:beforeAutospacing="0" w:after="0" w:afterAutospacing="0"/>
        <w:jc w:val="both"/>
        <w:rPr>
          <w:rFonts w:ascii="Times New Roman" w:hAnsi="Times New Roman" w:cs="Times New Roman"/>
          <w:sz w:val="24"/>
          <w:szCs w:val="24"/>
        </w:rPr>
      </w:pPr>
    </w:p>
    <w:p w14:paraId="754307C9"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Le transporteur s’engage à exécuter le service conformément à l’offre</w:t>
      </w:r>
      <w:r>
        <w:rPr>
          <w:rFonts w:ascii="Times New Roman" w:hAnsi="Times New Roman" w:cs="Times New Roman"/>
          <w:color w:val="auto"/>
          <w:sz w:val="24"/>
          <w:szCs w:val="24"/>
        </w:rPr>
        <w:t xml:space="preserve">, qui figure en </w:t>
      </w:r>
      <w:r>
        <w:rPr>
          <w:rFonts w:ascii="Times New Roman" w:hAnsi="Times New Roman" w:cs="Times New Roman"/>
          <w:sz w:val="24"/>
          <w:szCs w:val="24"/>
        </w:rPr>
        <w:t xml:space="preserve">annexe 2 de la présente convention, sur la base de laquelle il a été retenu. </w:t>
      </w:r>
    </w:p>
    <w:p w14:paraId="278E96BE"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p>
    <w:p w14:paraId="2439C015" w14:textId="77777777" w:rsidR="00963832" w:rsidRPr="00C93048" w:rsidRDefault="00963832" w:rsidP="00963832">
      <w:pPr>
        <w:pStyle w:val="NormalWeb"/>
        <w:spacing w:before="0" w:beforeAutospacing="0" w:after="0" w:afterAutospacing="0"/>
        <w:jc w:val="both"/>
        <w:rPr>
          <w:rFonts w:ascii="Times New Roman" w:hAnsi="Times New Roman" w:cs="Times New Roman"/>
          <w:color w:val="auto"/>
          <w:sz w:val="24"/>
          <w:szCs w:val="24"/>
        </w:rPr>
      </w:pPr>
      <w:r>
        <w:rPr>
          <w:rFonts w:ascii="Times New Roman" w:hAnsi="Times New Roman" w:cs="Times New Roman"/>
          <w:sz w:val="24"/>
          <w:szCs w:val="24"/>
        </w:rPr>
        <w:t>Toute évolution ou modification des conditions d’exploitation sous forme d’affrètement de longue durée, de partage de code ou de franchise devra faire l’objet de l’autorisation préalable de la direction générale de l’Aviation civile.</w:t>
      </w:r>
    </w:p>
    <w:p w14:paraId="568A9CED"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p>
    <w:p w14:paraId="1EB30BE3"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Le transporteur réalise son exploitation conformément aux dispositions du règlement (UE) 965/2012 applicables au transport aérien commercial.</w:t>
      </w:r>
    </w:p>
    <w:p w14:paraId="55DBCA7F"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p>
    <w:p w14:paraId="6BF44B77"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Sauf cas exceptionnels, justifiés par la nécessité d’assurer pour une courte durée la continuité du service et faisant l’objet d’une autorisation explicite de la direction du Transport aérien de la direction générale de l’Aviation civile, est prohibé le recours aux moyens d’un transporteur aérien non titulaire d’une licence d’exploitation délivrée par la France ou un autre État membre de l’Union européenne ou partie à l’accord sur l’Espace économique européen ou à tout autre accord ayant la même portée en matière de transport aérien.</w:t>
      </w:r>
    </w:p>
    <w:p w14:paraId="16001290"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p>
    <w:p w14:paraId="1BD4DB62"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 xml:space="preserve">Le transporteur s’engage à répondre sans délai à toute demande de la direction générale de l’Aviation civile concernant les événements qui doivent être pris en compte et rapportés à l’autorité de tutelle de l’Aviation civile, au sens des articles 4 et 5 du règlement (UE) </w:t>
      </w:r>
      <w:r>
        <w:rPr>
          <w:rFonts w:ascii="Times New Roman" w:hAnsi="Times New Roman" w:cs="Times New Roman"/>
          <w:sz w:val="24"/>
          <w:szCs w:val="24"/>
        </w:rPr>
        <w:br/>
        <w:t>n° 376/2014 du Parlement européen et du Conseil du 3 avril 2014 concernant les comptes rendus, l'analyse et le suivi d'événements dans l'aviation civile, modifiant le règlement (UE) n° 996/2010 du Parlement européen et du Conseil et abrogeant la directive 2003/42/CE du Parlement européen et du Conseil et les règlements de la Commission (CE) n° 1321/2007 et (CE) n° 1330/2007.</w:t>
      </w:r>
    </w:p>
    <w:p w14:paraId="4FF0F380"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p>
    <w:p w14:paraId="69BA587A"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Dans ses relations avec les autorités publiques ainsi qu’avec la clientèle avant, pendant et après le vol, le transporteur aérien doit utiliser la langue française.</w:t>
      </w:r>
    </w:p>
    <w:p w14:paraId="59932B4D" w14:textId="77777777" w:rsidR="0035136C" w:rsidRDefault="0035136C">
      <w:pPr>
        <w:pStyle w:val="NormalWeb"/>
        <w:spacing w:before="0" w:beforeAutospacing="0" w:after="0" w:afterAutospacing="0"/>
        <w:jc w:val="both"/>
        <w:rPr>
          <w:rFonts w:ascii="Times New Roman" w:hAnsi="Times New Roman" w:cs="Times New Roman"/>
          <w:sz w:val="24"/>
          <w:szCs w:val="24"/>
        </w:rPr>
      </w:pPr>
    </w:p>
    <w:p w14:paraId="7DF0FF23" w14:textId="77777777" w:rsidR="00EB672F" w:rsidRDefault="00EB672F">
      <w:pPr>
        <w:pStyle w:val="NormalWeb"/>
        <w:spacing w:before="0" w:beforeAutospacing="0" w:after="0" w:afterAutospacing="0"/>
        <w:jc w:val="both"/>
        <w:rPr>
          <w:rFonts w:ascii="Times New Roman" w:hAnsi="Times New Roman" w:cs="Times New Roman"/>
          <w:sz w:val="24"/>
          <w:szCs w:val="24"/>
        </w:rPr>
      </w:pPr>
    </w:p>
    <w:p w14:paraId="2178DD93" w14:textId="77777777" w:rsidR="00EB672F" w:rsidRDefault="00EB672F">
      <w:pPr>
        <w:pBdr>
          <w:top w:val="single" w:sz="4" w:space="6" w:color="auto"/>
          <w:left w:val="single" w:sz="4" w:space="4" w:color="auto"/>
          <w:bottom w:val="single" w:sz="4" w:space="1" w:color="auto"/>
          <w:right w:val="single" w:sz="4" w:space="4" w:color="auto"/>
        </w:pBdr>
        <w:shd w:val="clear" w:color="auto" w:fill="FFFF99"/>
        <w:jc w:val="both"/>
        <w:rPr>
          <w:b/>
          <w:bCs/>
          <w:color w:val="000000"/>
        </w:rPr>
      </w:pPr>
      <w:r>
        <w:rPr>
          <w:b/>
          <w:bCs/>
          <w:color w:val="000000"/>
        </w:rPr>
        <w:t>Article</w:t>
      </w:r>
      <w:r w:rsidR="001E571A">
        <w:rPr>
          <w:b/>
          <w:bCs/>
          <w:color w:val="000000"/>
        </w:rPr>
        <w:t xml:space="preserve"> </w:t>
      </w:r>
      <w:r>
        <w:rPr>
          <w:b/>
          <w:bCs/>
          <w:color w:val="000000"/>
        </w:rPr>
        <w:t>5 : Vérification et examen annuel de l’exécution du service</w:t>
      </w:r>
    </w:p>
    <w:p w14:paraId="34D90D9F" w14:textId="77777777" w:rsidR="00EB672F" w:rsidRDefault="00EB672F">
      <w:pPr>
        <w:pStyle w:val="NormalWeb"/>
        <w:spacing w:before="0" w:beforeAutospacing="0" w:after="0" w:afterAutospacing="0"/>
        <w:jc w:val="both"/>
        <w:rPr>
          <w:rFonts w:ascii="Times New Roman" w:hAnsi="Times New Roman" w:cs="Times New Roman"/>
          <w:sz w:val="24"/>
          <w:szCs w:val="24"/>
        </w:rPr>
      </w:pPr>
    </w:p>
    <w:p w14:paraId="05EC4F9A" w14:textId="210F1C6F" w:rsidR="00EB672F" w:rsidRDefault="00D36A12">
      <w:pPr>
        <w:pStyle w:val="NormalWeb"/>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 xml:space="preserve">Les </w:t>
      </w:r>
      <w:r w:rsidRPr="00D36A12">
        <w:rPr>
          <w:rFonts w:ascii="Times New Roman" w:hAnsi="Times New Roman" w:cs="Times New Roman"/>
          <w:sz w:val="24"/>
          <w:szCs w:val="24"/>
        </w:rPr>
        <w:t>parties concourant au financement </w:t>
      </w:r>
      <w:r w:rsidR="00EB672F">
        <w:rPr>
          <w:rFonts w:ascii="Times New Roman" w:hAnsi="Times New Roman" w:cs="Times New Roman"/>
          <w:sz w:val="24"/>
          <w:szCs w:val="24"/>
        </w:rPr>
        <w:t>peuvent procéder à tout moment à des opérations de vérification pour constater la correspondance entre les prestations exécutées et les obligations de service public que le transporteur s’est engagé à respecter.</w:t>
      </w:r>
    </w:p>
    <w:p w14:paraId="55B67B52" w14:textId="77777777" w:rsidR="00501A71" w:rsidRDefault="00501A71">
      <w:pPr>
        <w:pStyle w:val="NormalWeb"/>
        <w:spacing w:before="0" w:beforeAutospacing="0" w:after="0" w:afterAutospacing="0"/>
        <w:jc w:val="both"/>
        <w:rPr>
          <w:rFonts w:ascii="Times New Roman" w:hAnsi="Times New Roman" w:cs="Times New Roman"/>
          <w:sz w:val="24"/>
          <w:szCs w:val="24"/>
        </w:rPr>
      </w:pPr>
    </w:p>
    <w:p w14:paraId="17906B66"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lastRenderedPageBreak/>
        <w:t>Le non-respect d’une obligation de service public peut entraîner, suivant les cas, l’application de réductions dans les conditions prévues par l’article 9, ou la résiliation de la convention dans les conditions prévues par l’article 8. En tout état de cause, l’examen annuel de l’exécution du service donne lieu à l’établissement d’un procès-verbal signé des cocontractants ou de leurs représentants, au plus tard six mois après la fin de l’année d’exploitation considérée.</w:t>
      </w:r>
    </w:p>
    <w:p w14:paraId="1A74E01B"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p>
    <w:p w14:paraId="10C61A31"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Ce procès-verbal est établi comme suit :</w:t>
      </w:r>
    </w:p>
    <w:p w14:paraId="1AE78DFD" w14:textId="77777777" w:rsidR="00963832" w:rsidRDefault="00963832" w:rsidP="00963832">
      <w:pPr>
        <w:pStyle w:val="NormalWeb"/>
        <w:spacing w:before="120" w:beforeAutospacing="0" w:after="120" w:afterAutospacing="0"/>
        <w:jc w:val="both"/>
        <w:rPr>
          <w:rFonts w:ascii="Times New Roman" w:hAnsi="Times New Roman" w:cs="Times New Roman"/>
          <w:sz w:val="24"/>
          <w:szCs w:val="24"/>
        </w:rPr>
      </w:pPr>
      <w:r>
        <w:rPr>
          <w:rFonts w:ascii="Times New Roman" w:hAnsi="Times New Roman" w:cs="Times New Roman"/>
          <w:sz w:val="24"/>
          <w:szCs w:val="24"/>
        </w:rPr>
        <w:t>– sur la base d’un bilan annuel d’exploitation, un premier projet de procès-verbal est adressé par l’État aux autres parties, pour signature, au plus tard deux mois après la fin de l’année d’exploitation considérée ;</w:t>
      </w:r>
    </w:p>
    <w:p w14:paraId="403EE1A0"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 à défaut de signature de l’ensemble des parties dans le délai global de six mois après la fin de l’année d’exploitation considérée, le dernier projet établi par le représentant de l’État est réputé accepté par les autres parties.</w:t>
      </w:r>
    </w:p>
    <w:p w14:paraId="4C1F4E29" w14:textId="77777777" w:rsidR="00E05C15" w:rsidRDefault="00E05C15">
      <w:pPr>
        <w:rPr>
          <w:rFonts w:eastAsia="Times New Roman"/>
          <w:color w:val="000000"/>
          <w:lang w:eastAsia="fr-FR"/>
        </w:rPr>
      </w:pPr>
      <w:r>
        <w:br w:type="page"/>
      </w:r>
    </w:p>
    <w:p w14:paraId="718C7BB3" w14:textId="77777777" w:rsidR="00EB672F" w:rsidRDefault="00EB672F">
      <w:pPr>
        <w:pBdr>
          <w:top w:val="single" w:sz="4" w:space="6" w:color="auto"/>
          <w:left w:val="single" w:sz="4" w:space="4" w:color="auto"/>
          <w:bottom w:val="single" w:sz="4" w:space="1" w:color="auto"/>
          <w:right w:val="single" w:sz="4" w:space="4" w:color="auto"/>
        </w:pBdr>
        <w:shd w:val="clear" w:color="auto" w:fill="FFFF99"/>
        <w:jc w:val="both"/>
        <w:rPr>
          <w:b/>
          <w:bCs/>
          <w:color w:val="000000"/>
        </w:rPr>
      </w:pPr>
      <w:r>
        <w:rPr>
          <w:b/>
          <w:bCs/>
          <w:color w:val="000000"/>
        </w:rPr>
        <w:lastRenderedPageBreak/>
        <w:t>Article</w:t>
      </w:r>
      <w:r w:rsidR="001E571A">
        <w:rPr>
          <w:b/>
          <w:bCs/>
          <w:color w:val="000000"/>
        </w:rPr>
        <w:t xml:space="preserve"> </w:t>
      </w:r>
      <w:r>
        <w:rPr>
          <w:b/>
          <w:bCs/>
          <w:color w:val="000000"/>
        </w:rPr>
        <w:t xml:space="preserve">6 : Détermination du montant de compensation financière à verser </w:t>
      </w:r>
      <w:proofErr w:type="gramStart"/>
      <w:r>
        <w:rPr>
          <w:b/>
          <w:bCs/>
          <w:color w:val="000000"/>
        </w:rPr>
        <w:t>au</w:t>
      </w:r>
      <w:r w:rsidR="00602372">
        <w:rPr>
          <w:b/>
          <w:bCs/>
          <w:color w:val="000000"/>
        </w:rPr>
        <w:t xml:space="preserve"> </w:t>
      </w:r>
      <w:r>
        <w:rPr>
          <w:b/>
          <w:bCs/>
          <w:color w:val="000000"/>
        </w:rPr>
        <w:t xml:space="preserve"> transporteur</w:t>
      </w:r>
      <w:proofErr w:type="gramEnd"/>
    </w:p>
    <w:p w14:paraId="35727186" w14:textId="77777777" w:rsidR="00EB672F" w:rsidRDefault="00EB672F">
      <w:pPr>
        <w:pStyle w:val="NormalWeb"/>
        <w:tabs>
          <w:tab w:val="left" w:pos="7560"/>
        </w:tabs>
        <w:jc w:val="both"/>
        <w:rPr>
          <w:rFonts w:ascii="Times New Roman" w:hAnsi="Times New Roman" w:cs="Times New Roman"/>
          <w:sz w:val="24"/>
          <w:szCs w:val="24"/>
        </w:rPr>
      </w:pPr>
      <w:r>
        <w:rPr>
          <w:rFonts w:ascii="Times New Roman" w:hAnsi="Times New Roman" w:cs="Times New Roman"/>
          <w:sz w:val="24"/>
          <w:szCs w:val="24"/>
        </w:rPr>
        <w:t>Le transporteur s’engage sur les niveaux maximaux de compensation financière qu’il a présentés à l’appui de son offre pour chaque période annuelle d’exploitation, soit respectivement :</w:t>
      </w:r>
    </w:p>
    <w:p w14:paraId="0279DFF3" w14:textId="42E407AD" w:rsidR="008D2D98" w:rsidRDefault="007C2433" w:rsidP="007C2433">
      <w:pPr>
        <w:pStyle w:val="NormalWeb"/>
        <w:numPr>
          <w:ilvl w:val="0"/>
          <w:numId w:val="2"/>
        </w:numPr>
        <w:tabs>
          <w:tab w:val="clear" w:pos="1560"/>
          <w:tab w:val="num" w:pos="720"/>
          <w:tab w:val="left" w:pos="7560"/>
        </w:tabs>
        <w:rPr>
          <w:rFonts w:ascii="Times New Roman" w:hAnsi="Times New Roman" w:cs="Times New Roman"/>
          <w:sz w:val="24"/>
          <w:szCs w:val="24"/>
        </w:rPr>
      </w:pPr>
      <w:r w:rsidRPr="00EF7154">
        <w:rPr>
          <w:rFonts w:ascii="Times New Roman" w:hAnsi="Times New Roman" w:cs="Times New Roman"/>
          <w:b/>
          <w:bCs/>
          <w:color w:val="008000"/>
          <w:sz w:val="24"/>
          <w:szCs w:val="24"/>
        </w:rPr>
        <w:t>(</w:t>
      </w:r>
      <w:proofErr w:type="gramStart"/>
      <w:r w:rsidRPr="00EF7154">
        <w:rPr>
          <w:rFonts w:ascii="Times New Roman" w:hAnsi="Times New Roman" w:cs="Times New Roman"/>
          <w:b/>
          <w:bCs/>
          <w:color w:val="008000"/>
          <w:sz w:val="24"/>
          <w:szCs w:val="24"/>
        </w:rPr>
        <w:t>à</w:t>
      </w:r>
      <w:proofErr w:type="gramEnd"/>
      <w:r w:rsidRPr="00EF7154">
        <w:rPr>
          <w:rFonts w:ascii="Times New Roman" w:hAnsi="Times New Roman" w:cs="Times New Roman"/>
          <w:b/>
          <w:bCs/>
          <w:color w:val="008000"/>
          <w:sz w:val="24"/>
          <w:szCs w:val="24"/>
        </w:rPr>
        <w:t xml:space="preserve"> remplir par le candidat) </w:t>
      </w:r>
      <w:r w:rsidR="00EB672F">
        <w:rPr>
          <w:rFonts w:ascii="Times New Roman" w:hAnsi="Times New Roman" w:cs="Times New Roman"/>
          <w:b/>
          <w:bCs/>
          <w:color w:val="auto"/>
          <w:sz w:val="24"/>
          <w:szCs w:val="24"/>
        </w:rPr>
        <w:t xml:space="preserve">euros </w:t>
      </w:r>
      <w:r w:rsidR="00EB672F">
        <w:rPr>
          <w:rFonts w:ascii="Times New Roman" w:hAnsi="Times New Roman" w:cs="Times New Roman"/>
          <w:sz w:val="24"/>
          <w:szCs w:val="24"/>
        </w:rPr>
        <w:t>pour la première année d’exploitation,</w:t>
      </w:r>
      <w:r w:rsidR="00810F51">
        <w:rPr>
          <w:rFonts w:ascii="Times New Roman" w:hAnsi="Times New Roman" w:cs="Times New Roman"/>
          <w:sz w:val="24"/>
          <w:szCs w:val="24"/>
        </w:rPr>
        <w:t xml:space="preserve"> allant du  inclus ;</w:t>
      </w:r>
    </w:p>
    <w:p w14:paraId="18911E95" w14:textId="410747CC" w:rsidR="00810F51" w:rsidRDefault="007C2433" w:rsidP="00810F51">
      <w:pPr>
        <w:pStyle w:val="NormalWeb"/>
        <w:numPr>
          <w:ilvl w:val="0"/>
          <w:numId w:val="2"/>
        </w:numPr>
        <w:tabs>
          <w:tab w:val="clear" w:pos="1560"/>
          <w:tab w:val="num" w:pos="720"/>
          <w:tab w:val="left" w:pos="7560"/>
        </w:tabs>
        <w:rPr>
          <w:rFonts w:ascii="Times New Roman" w:hAnsi="Times New Roman" w:cs="Times New Roman"/>
          <w:sz w:val="24"/>
          <w:szCs w:val="24"/>
        </w:rPr>
      </w:pPr>
      <w:r w:rsidRPr="00EF7154">
        <w:rPr>
          <w:rFonts w:ascii="Times New Roman" w:hAnsi="Times New Roman" w:cs="Times New Roman"/>
          <w:b/>
          <w:bCs/>
          <w:color w:val="008000"/>
          <w:sz w:val="24"/>
          <w:szCs w:val="24"/>
        </w:rPr>
        <w:t>(</w:t>
      </w:r>
      <w:proofErr w:type="gramStart"/>
      <w:r w:rsidRPr="00EF7154">
        <w:rPr>
          <w:rFonts w:ascii="Times New Roman" w:hAnsi="Times New Roman" w:cs="Times New Roman"/>
          <w:b/>
          <w:bCs/>
          <w:color w:val="008000"/>
          <w:sz w:val="24"/>
          <w:szCs w:val="24"/>
        </w:rPr>
        <w:t>à</w:t>
      </w:r>
      <w:proofErr w:type="gramEnd"/>
      <w:r w:rsidRPr="00EF7154">
        <w:rPr>
          <w:rFonts w:ascii="Times New Roman" w:hAnsi="Times New Roman" w:cs="Times New Roman"/>
          <w:b/>
          <w:bCs/>
          <w:color w:val="008000"/>
          <w:sz w:val="24"/>
          <w:szCs w:val="24"/>
        </w:rPr>
        <w:t xml:space="preserve"> remplir par le candidat)</w:t>
      </w:r>
      <w:r>
        <w:rPr>
          <w:rFonts w:ascii="Times New Roman" w:hAnsi="Times New Roman" w:cs="Times New Roman"/>
          <w:b/>
          <w:bCs/>
          <w:color w:val="auto"/>
          <w:sz w:val="24"/>
          <w:szCs w:val="24"/>
        </w:rPr>
        <w:t xml:space="preserve"> </w:t>
      </w:r>
      <w:r w:rsidR="00EB672F">
        <w:rPr>
          <w:rFonts w:ascii="Times New Roman" w:hAnsi="Times New Roman" w:cs="Times New Roman"/>
          <w:b/>
          <w:bCs/>
          <w:color w:val="auto"/>
          <w:sz w:val="24"/>
          <w:szCs w:val="24"/>
        </w:rPr>
        <w:t xml:space="preserve">euros </w:t>
      </w:r>
      <w:r w:rsidR="00EB672F">
        <w:rPr>
          <w:rFonts w:ascii="Times New Roman" w:hAnsi="Times New Roman" w:cs="Times New Roman"/>
          <w:sz w:val="24"/>
          <w:szCs w:val="24"/>
        </w:rPr>
        <w:t>pour la deuxième année d’exploitation,</w:t>
      </w:r>
      <w:r w:rsidR="00810F51">
        <w:rPr>
          <w:rFonts w:ascii="Times New Roman" w:hAnsi="Times New Roman" w:cs="Times New Roman"/>
          <w:sz w:val="24"/>
          <w:szCs w:val="24"/>
        </w:rPr>
        <w:t xml:space="preserve"> allant du  inclus ;</w:t>
      </w:r>
    </w:p>
    <w:p w14:paraId="70EA37B1" w14:textId="77777777" w:rsidR="00963832" w:rsidRPr="00963832" w:rsidRDefault="00963832" w:rsidP="00963832">
      <w:pPr>
        <w:pStyle w:val="NormalWeb"/>
        <w:tabs>
          <w:tab w:val="left" w:pos="7560"/>
        </w:tabs>
        <w:jc w:val="both"/>
        <w:rPr>
          <w:rFonts w:ascii="Times New Roman" w:hAnsi="Times New Roman" w:cs="Times New Roman"/>
          <w:sz w:val="24"/>
          <w:szCs w:val="24"/>
        </w:rPr>
      </w:pPr>
      <w:r w:rsidRPr="00963832">
        <w:rPr>
          <w:rFonts w:ascii="Times New Roman" w:hAnsi="Times New Roman" w:cs="Times New Roman"/>
          <w:sz w:val="24"/>
          <w:szCs w:val="24"/>
        </w:rPr>
        <w:t>Lorsque le transporteur estime qu’une modification imprévisible des conditions d’exploitation justifie la révision du montant maximal de la compensation financière, il lui appartient de présenter une demande motivée aux autres parties signataires, qui disposent d’un délai de deux mois pour se prononcer. Le contrat peut alors être modifié par avenant.</w:t>
      </w:r>
    </w:p>
    <w:p w14:paraId="646778BC" w14:textId="77777777" w:rsidR="00963832" w:rsidRPr="00963832" w:rsidRDefault="00963832" w:rsidP="00963832">
      <w:pPr>
        <w:pStyle w:val="NormalWeb"/>
        <w:tabs>
          <w:tab w:val="left" w:pos="7560"/>
        </w:tabs>
        <w:jc w:val="both"/>
        <w:rPr>
          <w:rFonts w:ascii="Times New Roman" w:hAnsi="Times New Roman" w:cs="Times New Roman"/>
          <w:sz w:val="24"/>
          <w:szCs w:val="24"/>
        </w:rPr>
      </w:pPr>
      <w:r w:rsidRPr="00963832">
        <w:rPr>
          <w:rFonts w:ascii="Times New Roman" w:hAnsi="Times New Roman" w:cs="Times New Roman"/>
          <w:sz w:val="24"/>
          <w:szCs w:val="24"/>
        </w:rPr>
        <w:t>Le montant de la compensation financière effectivement accordée au transporteur est déterminé chaque année, ex post, en fonction des dépenses et des recettes effectivement engendrées par le service, dans la limite des montants mentionnés ci-dessus. En outre, le montant maximal annuel de la rémunération du transporteur en application de l’article 17.8 du règlement 1008/2008 ne pourra pas excéder 6% des recettes réelles de la liaison sur chaque période.</w:t>
      </w:r>
    </w:p>
    <w:p w14:paraId="708FB2D0" w14:textId="77777777" w:rsidR="00963832" w:rsidRPr="00963832" w:rsidRDefault="00963832" w:rsidP="00963832">
      <w:pPr>
        <w:pStyle w:val="NormalWeb"/>
        <w:tabs>
          <w:tab w:val="left" w:pos="7560"/>
        </w:tabs>
        <w:jc w:val="both"/>
        <w:rPr>
          <w:rFonts w:ascii="Times New Roman" w:hAnsi="Times New Roman" w:cs="Times New Roman"/>
          <w:sz w:val="24"/>
          <w:szCs w:val="24"/>
        </w:rPr>
      </w:pPr>
      <w:r w:rsidRPr="00963832">
        <w:rPr>
          <w:rFonts w:ascii="Times New Roman" w:hAnsi="Times New Roman" w:cs="Times New Roman"/>
          <w:sz w:val="24"/>
          <w:szCs w:val="24"/>
        </w:rPr>
        <w:t xml:space="preserve">Cette compensation financière correspond à la différence entre les dépenses réelles hors taxes (TVA, taxes spécifiques au transport aérien) d’exploitation du service et les recettes commerciales, hors taxes (TVA, taxes spécifiques au transport aérien), procurées par celui-ci. </w:t>
      </w:r>
    </w:p>
    <w:p w14:paraId="53CBD2B1" w14:textId="77777777" w:rsidR="00963832" w:rsidRPr="00963832" w:rsidRDefault="00963832" w:rsidP="00963832">
      <w:pPr>
        <w:pStyle w:val="NormalWeb"/>
        <w:tabs>
          <w:tab w:val="left" w:pos="7560"/>
        </w:tabs>
        <w:jc w:val="both"/>
        <w:rPr>
          <w:rFonts w:ascii="Times New Roman" w:hAnsi="Times New Roman" w:cs="Times New Roman"/>
          <w:sz w:val="24"/>
          <w:szCs w:val="24"/>
        </w:rPr>
      </w:pPr>
      <w:r w:rsidRPr="00963832">
        <w:rPr>
          <w:rFonts w:ascii="Times New Roman" w:hAnsi="Times New Roman" w:cs="Times New Roman"/>
          <w:sz w:val="24"/>
          <w:szCs w:val="24"/>
        </w:rPr>
        <w:t>Sur la base du décompte financier annuel et des autres documents justificatifs joints à celui-ci, mentionnés à l’article 7 ci-dessous, et présentés par le transporteur, il est procédé par l’une ou l’autre des deux autres parties, ou conjointement par celles-ci, à un examen financier annuel du montant de compensation financière à verser au transporteur, celui-ci étant, le cas échéant, diminué des réductions appliquées conformément à l’article 9 ci-dessous. Cet examen annuel peut donner lieu à des contrôles sur pièces et sur place par un ou des représentants des parties concernées. Ce représentant peut être un prestataire de services désigné par l’une ou l’autre des deux parties ou, le cas échéant, conjointement par les deux parties.</w:t>
      </w:r>
    </w:p>
    <w:p w14:paraId="48E7B227" w14:textId="4D5EB754" w:rsidR="00EB672F" w:rsidRDefault="00963832" w:rsidP="00963832">
      <w:pPr>
        <w:pStyle w:val="NormalWeb"/>
        <w:tabs>
          <w:tab w:val="left" w:pos="7560"/>
        </w:tabs>
        <w:spacing w:before="0" w:beforeAutospacing="0" w:after="0" w:afterAutospacing="0"/>
        <w:jc w:val="both"/>
      </w:pPr>
      <w:r w:rsidRPr="00963832">
        <w:rPr>
          <w:rFonts w:ascii="Times New Roman" w:hAnsi="Times New Roman" w:cs="Times New Roman"/>
          <w:sz w:val="24"/>
          <w:szCs w:val="24"/>
        </w:rPr>
        <w:t xml:space="preserve">La détermination du montant de compensation financière à verser au transporteur donne lieu à l’établissement d’un procès-verbal signé des cocontractants ou de leurs </w:t>
      </w:r>
      <w:proofErr w:type="gramStart"/>
      <w:r w:rsidRPr="00963832">
        <w:rPr>
          <w:rFonts w:ascii="Times New Roman" w:hAnsi="Times New Roman" w:cs="Times New Roman"/>
          <w:sz w:val="24"/>
          <w:szCs w:val="24"/>
        </w:rPr>
        <w:t>représentants.</w:t>
      </w:r>
      <w:r w:rsidR="00EB672F">
        <w:t>.</w:t>
      </w:r>
      <w:proofErr w:type="gramEnd"/>
    </w:p>
    <w:p w14:paraId="7BAA4BD2" w14:textId="77777777" w:rsidR="00E64F28" w:rsidRDefault="00E64F28">
      <w:pPr>
        <w:pStyle w:val="NormalWeb"/>
        <w:tabs>
          <w:tab w:val="left" w:pos="7560"/>
        </w:tabs>
        <w:spacing w:before="0" w:beforeAutospacing="0" w:after="0" w:afterAutospacing="0"/>
        <w:jc w:val="both"/>
      </w:pPr>
    </w:p>
    <w:p w14:paraId="4F2BA655" w14:textId="77777777" w:rsidR="00E64F28" w:rsidRDefault="00E64F28">
      <w:pPr>
        <w:pStyle w:val="NormalWeb"/>
        <w:tabs>
          <w:tab w:val="left" w:pos="7560"/>
        </w:tabs>
        <w:spacing w:before="0" w:beforeAutospacing="0" w:after="0" w:afterAutospacing="0"/>
        <w:jc w:val="both"/>
      </w:pPr>
    </w:p>
    <w:p w14:paraId="5898EC36" w14:textId="77777777" w:rsidR="00EB672F" w:rsidRDefault="00EB672F">
      <w:pPr>
        <w:pBdr>
          <w:top w:val="single" w:sz="4" w:space="6" w:color="auto"/>
          <w:left w:val="single" w:sz="4" w:space="4" w:color="auto"/>
          <w:bottom w:val="single" w:sz="4" w:space="1" w:color="auto"/>
          <w:right w:val="single" w:sz="4" w:space="4" w:color="auto"/>
        </w:pBdr>
        <w:shd w:val="clear" w:color="auto" w:fill="FFFF99"/>
        <w:jc w:val="both"/>
        <w:rPr>
          <w:b/>
          <w:bCs/>
          <w:color w:val="000000"/>
        </w:rPr>
      </w:pPr>
      <w:r>
        <w:rPr>
          <w:b/>
          <w:bCs/>
          <w:color w:val="000000"/>
        </w:rPr>
        <w:t>Article 7 : Modalités de versement de la compensation financière</w:t>
      </w:r>
    </w:p>
    <w:p w14:paraId="7DAAAB94" w14:textId="77777777" w:rsidR="00F40887" w:rsidRDefault="00F40887">
      <w:pPr>
        <w:jc w:val="both"/>
      </w:pPr>
    </w:p>
    <w:p w14:paraId="6FFC1001" w14:textId="77777777" w:rsidR="00C02640" w:rsidRDefault="00C02640" w:rsidP="00C02640">
      <w:pPr>
        <w:jc w:val="both"/>
      </w:pPr>
      <w:r>
        <w:t>La TVA n’est pas applicable aux subventions versées, qui sont des subventions d’équilibre.</w:t>
      </w:r>
    </w:p>
    <w:p w14:paraId="33FEE0FD" w14:textId="77777777" w:rsidR="00C02640" w:rsidRDefault="00C02640" w:rsidP="00C02640">
      <w:pPr>
        <w:jc w:val="both"/>
      </w:pPr>
    </w:p>
    <w:p w14:paraId="540A0FAB" w14:textId="77777777" w:rsidR="00C02640" w:rsidRDefault="00C02640" w:rsidP="00C02640">
      <w:pPr>
        <w:jc w:val="both"/>
        <w:rPr>
          <w:strike/>
        </w:rPr>
      </w:pPr>
      <w:r>
        <w:t>La compensation financière est prise en charge </w:t>
      </w:r>
      <w:r>
        <w:rPr>
          <w:b/>
        </w:rPr>
        <w:t>par l’État à hauteur de 100%.</w:t>
      </w:r>
    </w:p>
    <w:p w14:paraId="4F1BB378" w14:textId="77777777" w:rsidR="00477CDA" w:rsidRPr="00477CDA" w:rsidRDefault="00477CDA" w:rsidP="00477CDA">
      <w:pPr>
        <w:jc w:val="both"/>
      </w:pPr>
    </w:p>
    <w:p w14:paraId="74C0DFCD" w14:textId="77777777" w:rsidR="00EB672F" w:rsidRDefault="00C077E4">
      <w:pPr>
        <w:jc w:val="both"/>
      </w:pPr>
      <w:r w:rsidRPr="00602372">
        <w:t>L</w:t>
      </w:r>
      <w:r w:rsidR="00EB672F" w:rsidRPr="00602372">
        <w:t xml:space="preserve">es paiements </w:t>
      </w:r>
      <w:r w:rsidRPr="00602372">
        <w:t xml:space="preserve">des personnes publiques contribuant à la compensation financière </w:t>
      </w:r>
      <w:r w:rsidR="00EB672F" w:rsidRPr="00602372">
        <w:t>sont effectués sous forme d’acomptes et de solde, selon</w:t>
      </w:r>
      <w:r w:rsidR="00984921">
        <w:t xml:space="preserve"> les modalités suivantes :</w:t>
      </w:r>
    </w:p>
    <w:p w14:paraId="0B9A69A5" w14:textId="77777777" w:rsidR="00C02640" w:rsidRDefault="00C02640" w:rsidP="00C02640"/>
    <w:p w14:paraId="3DD3A3E0" w14:textId="77777777" w:rsidR="00C02640" w:rsidRDefault="00C02640" w:rsidP="00C02640">
      <w:pPr>
        <w:pStyle w:val="Paragraphedeliste"/>
        <w:numPr>
          <w:ilvl w:val="0"/>
          <w:numId w:val="11"/>
        </w:numPr>
        <w:jc w:val="both"/>
      </w:pPr>
      <w:r>
        <w:t>Pour chacune des trois périodes, les acomptes au nombre de trois, sont déterminés comme suit :</w:t>
      </w:r>
    </w:p>
    <w:p w14:paraId="7B42A668" w14:textId="77777777" w:rsidR="00C02640" w:rsidRDefault="00C02640" w:rsidP="00C02640">
      <w:pPr>
        <w:pStyle w:val="Paragraphedeliste"/>
        <w:numPr>
          <w:ilvl w:val="0"/>
          <w:numId w:val="12"/>
        </w:numPr>
        <w:jc w:val="both"/>
      </w:pPr>
      <w:proofErr w:type="gramStart"/>
      <w:r>
        <w:t>le</w:t>
      </w:r>
      <w:proofErr w:type="gramEnd"/>
      <w:r>
        <w:t xml:space="preserve"> premier acompte représente, pour chacune des parties participant au financement, 20 % de sa participation financière prévisionnelle, calculée sur la base du niveau maximal de compensation financière indiqué à l’article 6 pour la période considérée. La demande du transporteur doit rappeler l’objet de son service, les références de la convention en cours et détailler le calcul permettant de fixer la somme à payer au titre de premier acompte ; cette demande ne pouvant être présentée qu’à l’issue du troisième mois d’exploitation.</w:t>
      </w:r>
    </w:p>
    <w:p w14:paraId="46F6E269" w14:textId="77777777" w:rsidR="00C02640" w:rsidRDefault="00C02640" w:rsidP="00C02640">
      <w:pPr>
        <w:jc w:val="both"/>
      </w:pPr>
    </w:p>
    <w:p w14:paraId="0858AF17" w14:textId="77777777" w:rsidR="00C02640" w:rsidRDefault="00C02640" w:rsidP="00C02640">
      <w:pPr>
        <w:pStyle w:val="Paragraphedeliste"/>
        <w:numPr>
          <w:ilvl w:val="0"/>
          <w:numId w:val="12"/>
        </w:numPr>
        <w:jc w:val="both"/>
      </w:pPr>
      <w:proofErr w:type="gramStart"/>
      <w:r>
        <w:t>le</w:t>
      </w:r>
      <w:proofErr w:type="gramEnd"/>
      <w:r>
        <w:t xml:space="preserve"> deuxième acompte, portant le montant total d’acomptes versés à 40 % de la participation financière prévisionnelle de chacune des parties participant au financement (éventuellement révisée à la baisse en fonction des premiers mois d’exploitation), répond aux mêmes règles que celles déterminées pour le versement du premier acompte ; cette demande ne peut être présentée qu’à l’issue du sixième mois d’exploitation ;</w:t>
      </w:r>
    </w:p>
    <w:p w14:paraId="4D41A9C5" w14:textId="77777777" w:rsidR="00C02640" w:rsidRDefault="00C02640" w:rsidP="00C02640">
      <w:pPr>
        <w:jc w:val="both"/>
      </w:pPr>
    </w:p>
    <w:p w14:paraId="6B1ACF0B" w14:textId="77777777" w:rsidR="00C02640" w:rsidRDefault="00C02640" w:rsidP="00C02640">
      <w:pPr>
        <w:pStyle w:val="Paragraphedeliste"/>
        <w:numPr>
          <w:ilvl w:val="0"/>
          <w:numId w:val="12"/>
        </w:numPr>
        <w:jc w:val="both"/>
      </w:pPr>
      <w:proofErr w:type="gramStart"/>
      <w:r>
        <w:t>le</w:t>
      </w:r>
      <w:proofErr w:type="gramEnd"/>
      <w:r>
        <w:t xml:space="preserve"> troisième acompte, portant le montant total d’acomptes versés à 60 % de la participation financière prévisionnelle de chacune des parties participant au financement (éventuellement révisée à la baisse en fonction des premiers mois d’exploitation), répond aux mêmes règles que celles déterminées pour le versement des précédents acomptes ; cette demande ne peut être présentée qu’à l’issue du neuvième mois d’exploitation ;</w:t>
      </w:r>
    </w:p>
    <w:p w14:paraId="7E85C916" w14:textId="77777777" w:rsidR="00C02640" w:rsidRDefault="00C02640" w:rsidP="00C02640">
      <w:pPr>
        <w:pStyle w:val="Paragraphedeliste"/>
        <w:ind w:left="720"/>
        <w:jc w:val="both"/>
      </w:pPr>
    </w:p>
    <w:p w14:paraId="6D804700" w14:textId="77777777" w:rsidR="00C02640" w:rsidRDefault="00C02640" w:rsidP="00C02640">
      <w:pPr>
        <w:pStyle w:val="Paragraphedeliste"/>
        <w:numPr>
          <w:ilvl w:val="0"/>
          <w:numId w:val="11"/>
        </w:numPr>
      </w:pPr>
      <w:r>
        <w:t xml:space="preserve">Pour les trois périodes, le solde n’est versé qu’après signature des procès-verbaux tels que définis aux articles 5 et 6. </w:t>
      </w:r>
    </w:p>
    <w:p w14:paraId="6D30CE7F" w14:textId="77777777" w:rsidR="00C02640" w:rsidRDefault="00C02640" w:rsidP="00C02640">
      <w:pPr>
        <w:pStyle w:val="Paragraphedeliste"/>
        <w:ind w:left="720"/>
      </w:pPr>
    </w:p>
    <w:p w14:paraId="046ED5F3" w14:textId="77777777" w:rsidR="00C02640" w:rsidRDefault="00C02640" w:rsidP="00C02640">
      <w:pPr>
        <w:ind w:left="360"/>
      </w:pPr>
      <w:r>
        <w:t>Ce décompte doit être accompagné :</w:t>
      </w:r>
    </w:p>
    <w:p w14:paraId="2B128FD7" w14:textId="77777777" w:rsidR="00C02640" w:rsidRDefault="00C02640" w:rsidP="00C02640">
      <w:pPr>
        <w:pStyle w:val="Paragraphedeliste"/>
        <w:numPr>
          <w:ilvl w:val="0"/>
          <w:numId w:val="13"/>
        </w:numPr>
        <w:jc w:val="both"/>
      </w:pPr>
      <w:proofErr w:type="gramStart"/>
      <w:r>
        <w:t>des</w:t>
      </w:r>
      <w:proofErr w:type="gramEnd"/>
      <w:r>
        <w:t xml:space="preserve"> comptes analytiques de l’entreprise sur la liaison considérée attestés par un commissaire aux comptes (ou par son équivalent dans le pays de l’Union européenne dont dépend le transporteur), présentés selon le modèle joint en annexe III ;</w:t>
      </w:r>
    </w:p>
    <w:p w14:paraId="0224E64E" w14:textId="77777777" w:rsidR="00C02640" w:rsidRDefault="00C02640" w:rsidP="00C02640">
      <w:pPr>
        <w:pStyle w:val="Paragraphedeliste"/>
        <w:numPr>
          <w:ilvl w:val="0"/>
          <w:numId w:val="13"/>
        </w:numPr>
        <w:jc w:val="both"/>
      </w:pPr>
      <w:proofErr w:type="gramStart"/>
      <w:r>
        <w:t>et</w:t>
      </w:r>
      <w:proofErr w:type="gramEnd"/>
      <w:r>
        <w:t>, le cas échéant, d’une note explicative précisant le détail et les modalités d’affectation à la liaison des différents postes de coûts, sur la période considérée, si les différentes pièces fournies par ailleurs ne permettent pas de les déterminer.</w:t>
      </w:r>
    </w:p>
    <w:p w14:paraId="5CA3DE7B" w14:textId="77777777" w:rsidR="00C02640" w:rsidRDefault="00C02640" w:rsidP="00C02640"/>
    <w:p w14:paraId="159AEB9B" w14:textId="77777777" w:rsidR="00C02640" w:rsidRDefault="00C02640" w:rsidP="00C02640">
      <w:r>
        <w:t>Le solde ne pourra être versé qu’après la signature des procès-verbaux prévus aux articles 5 et 6 ci-dessus.</w:t>
      </w:r>
    </w:p>
    <w:p w14:paraId="734D5865" w14:textId="77777777" w:rsidR="00C02640" w:rsidRDefault="00C02640" w:rsidP="00C02640"/>
    <w:p w14:paraId="794518A5" w14:textId="77777777" w:rsidR="00C02640" w:rsidRDefault="00C02640" w:rsidP="00C02640">
      <w:pPr>
        <w:jc w:val="both"/>
      </w:pPr>
      <w:r>
        <w:t>Le transporteur sera par ailleurs tenu, après détermination de la compensation financière qui lui est due sur la période d’exécution de son service, de rembourser, le cas échéant, les sommes indûment perçues à titre d’acompte.</w:t>
      </w:r>
    </w:p>
    <w:p w14:paraId="6ACF58D1" w14:textId="77777777" w:rsidR="00C02640" w:rsidRDefault="00C02640" w:rsidP="00C02640">
      <w:pPr>
        <w:jc w:val="both"/>
      </w:pPr>
    </w:p>
    <w:p w14:paraId="2F8F32E7" w14:textId="77777777" w:rsidR="00C02640" w:rsidRDefault="00C02640" w:rsidP="00C02640">
      <w:pPr>
        <w:jc w:val="both"/>
      </w:pPr>
      <w:r>
        <w:t>Les demandes d’acompte et de solde ainsi que les documents justificatifs à produire à l’appui du paiement du solde doivent parvenir à l’adresse suivante :</w:t>
      </w:r>
    </w:p>
    <w:p w14:paraId="23A08DD4" w14:textId="77777777" w:rsidR="00C02640" w:rsidRDefault="00C02640" w:rsidP="00C02640">
      <w:pPr>
        <w:ind w:firstLine="708"/>
        <w:jc w:val="both"/>
        <w:rPr>
          <w:sz w:val="16"/>
          <w:szCs w:val="16"/>
        </w:rPr>
      </w:pPr>
    </w:p>
    <w:p w14:paraId="616DC38C" w14:textId="77777777" w:rsidR="00C02640" w:rsidRDefault="00C02640" w:rsidP="00C02640">
      <w:pPr>
        <w:ind w:firstLine="708"/>
        <w:jc w:val="center"/>
      </w:pPr>
      <w:r>
        <w:rPr>
          <w:b/>
          <w:bCs/>
        </w:rPr>
        <w:t>Direction générale de l’Aviation civile</w:t>
      </w:r>
      <w:r>
        <w:t>,</w:t>
      </w:r>
    </w:p>
    <w:p w14:paraId="4AF3C147" w14:textId="77777777" w:rsidR="00C02640" w:rsidRDefault="00C02640" w:rsidP="00C02640">
      <w:pPr>
        <w:ind w:firstLine="708"/>
        <w:jc w:val="center"/>
      </w:pPr>
      <w:r>
        <w:t>Direction du Transport aérien,</w:t>
      </w:r>
    </w:p>
    <w:p w14:paraId="044A9E75" w14:textId="77777777" w:rsidR="00C02640" w:rsidRDefault="00C02640" w:rsidP="00C02640">
      <w:pPr>
        <w:ind w:firstLine="708"/>
        <w:jc w:val="center"/>
      </w:pPr>
      <w:r>
        <w:t>Sous-direction des Transporteurs et Services aériens</w:t>
      </w:r>
    </w:p>
    <w:p w14:paraId="3DADA3EE" w14:textId="77777777" w:rsidR="00C02640" w:rsidRDefault="00C02640" w:rsidP="00C02640">
      <w:pPr>
        <w:ind w:firstLine="708"/>
        <w:jc w:val="center"/>
      </w:pPr>
      <w:r>
        <w:t>Bureau des Transporteurs et de l’Intervention publique (SDS1)</w:t>
      </w:r>
    </w:p>
    <w:p w14:paraId="4976A87E" w14:textId="77777777" w:rsidR="00C02640" w:rsidRDefault="00C02640" w:rsidP="00C02640">
      <w:pPr>
        <w:ind w:left="708"/>
        <w:jc w:val="center"/>
        <w:rPr>
          <w:sz w:val="16"/>
          <w:szCs w:val="16"/>
          <w:lang w:val="en-GB"/>
        </w:rPr>
      </w:pPr>
      <w:r>
        <w:rPr>
          <w:lang w:val="en-GB"/>
        </w:rPr>
        <w:lastRenderedPageBreak/>
        <w:t>50, rue Henry-Farman, 75 720 Paris Cedex 15,</w:t>
      </w:r>
    </w:p>
    <w:p w14:paraId="682ACB1A" w14:textId="77777777" w:rsidR="00C02640" w:rsidRDefault="00C02640" w:rsidP="00C02640">
      <w:pPr>
        <w:pStyle w:val="NormalWeb"/>
        <w:spacing w:before="0" w:beforeAutospacing="0" w:after="0" w:afterAutospacing="0"/>
        <w:jc w:val="both"/>
        <w:rPr>
          <w:rFonts w:ascii="Times New Roman" w:hAnsi="Times New Roman" w:cs="Times New Roman"/>
          <w:sz w:val="24"/>
          <w:szCs w:val="24"/>
          <w:lang w:val="en-GB"/>
        </w:rPr>
      </w:pPr>
    </w:p>
    <w:p w14:paraId="4CBEA2C6" w14:textId="77777777" w:rsidR="00C02640" w:rsidRDefault="00C02640" w:rsidP="00C02640">
      <w:pPr>
        <w:pStyle w:val="NormalWeb"/>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Pour l’État, l’ordonnateur principal de la dépense est le ministre chargé de l’Aviation civile ou son délégataire, le comptable assignataire est le contrôleur budgétaire près le ministère du partenariat avec les territoires et de la décentralisation.</w:t>
      </w:r>
    </w:p>
    <w:p w14:paraId="48776936" w14:textId="77777777" w:rsidR="00C02640" w:rsidRDefault="00C02640" w:rsidP="00C02640"/>
    <w:p w14:paraId="280C09F2" w14:textId="77777777" w:rsidR="00C02640" w:rsidRDefault="00C02640" w:rsidP="00C02640">
      <w:pPr>
        <w:jc w:val="both"/>
      </w:pPr>
      <w:r>
        <w:t xml:space="preserve">Le transporteur devra demander le versement du solde dans le délai de dix-huit mois à compter de la fin de chaque période annuelle d’exploitation de la liaison. Si, après mise en demeure par le ministre chargé de l’Aviation civile de lui adresser les pièces justificatives nécessaires au versement dudit solde, le transporteur n’a pas transmis lesdits documents dans un nouveau délai de trois mois, le ministre chargé de l’Aviation civile et le Président de la </w:t>
      </w:r>
      <w:r>
        <w:rPr>
          <w:bCs/>
        </w:rPr>
        <w:t>Chambre de commerce et d’industrie Alsace Eurométropole</w:t>
      </w:r>
      <w:r>
        <w:t xml:space="preserve"> pourront liquider la subvention sur la base du montant maximal de compensation financière prévisionnelle, en y appliquant les réductions financières mentionnées à l’article 9.</w:t>
      </w:r>
    </w:p>
    <w:p w14:paraId="0C25DEE3" w14:textId="77777777" w:rsidR="00EA58EB" w:rsidRDefault="00EA58EB">
      <w:pPr>
        <w:jc w:val="both"/>
      </w:pPr>
    </w:p>
    <w:p w14:paraId="23E4570D" w14:textId="77777777" w:rsidR="00536FC2" w:rsidRDefault="00536FC2">
      <w:pPr>
        <w:jc w:val="both"/>
      </w:pPr>
    </w:p>
    <w:p w14:paraId="09EC4420" w14:textId="77777777" w:rsidR="00EB672F" w:rsidRDefault="00EB672F">
      <w:pPr>
        <w:pBdr>
          <w:top w:val="single" w:sz="4" w:space="1" w:color="auto"/>
          <w:left w:val="single" w:sz="4" w:space="4" w:color="auto"/>
          <w:bottom w:val="single" w:sz="4" w:space="1" w:color="auto"/>
          <w:right w:val="single" w:sz="4" w:space="4" w:color="auto"/>
        </w:pBdr>
        <w:shd w:val="clear" w:color="auto" w:fill="FFFF99"/>
        <w:jc w:val="both"/>
        <w:rPr>
          <w:b/>
          <w:bCs/>
          <w:color w:val="000000"/>
        </w:rPr>
      </w:pPr>
      <w:r>
        <w:rPr>
          <w:b/>
          <w:bCs/>
          <w:color w:val="000000"/>
        </w:rPr>
        <w:t>Article 8 : Résiliation</w:t>
      </w:r>
    </w:p>
    <w:p w14:paraId="47FE2E28" w14:textId="77777777" w:rsidR="00EB672F" w:rsidRDefault="00EB672F">
      <w:pPr>
        <w:pStyle w:val="NormalWeb"/>
        <w:spacing w:before="0" w:beforeAutospacing="0" w:after="0" w:afterAutospacing="0"/>
        <w:jc w:val="both"/>
        <w:rPr>
          <w:rFonts w:ascii="Times New Roman" w:hAnsi="Times New Roman" w:cs="Times New Roman"/>
          <w:b/>
          <w:bCs/>
          <w:sz w:val="24"/>
          <w:szCs w:val="24"/>
        </w:rPr>
      </w:pPr>
    </w:p>
    <w:p w14:paraId="64CB3CA4" w14:textId="77777777" w:rsidR="00C02640" w:rsidRDefault="00C02640" w:rsidP="00C02640">
      <w:pPr>
        <w:pStyle w:val="NormalWeb"/>
        <w:spacing w:before="0" w:beforeAutospacing="0" w:after="120" w:afterAutospacing="0"/>
        <w:jc w:val="both"/>
        <w:rPr>
          <w:rFonts w:ascii="Times New Roman" w:hAnsi="Times New Roman" w:cs="Times New Roman"/>
          <w:sz w:val="24"/>
          <w:szCs w:val="24"/>
        </w:rPr>
      </w:pPr>
      <w:r>
        <w:rPr>
          <w:rFonts w:ascii="Times New Roman" w:hAnsi="Times New Roman" w:cs="Times New Roman"/>
          <w:b/>
          <w:bCs/>
          <w:sz w:val="24"/>
          <w:szCs w:val="24"/>
        </w:rPr>
        <w:t>8.1</w:t>
      </w:r>
      <w:r>
        <w:rPr>
          <w:rFonts w:ascii="Times New Roman" w:hAnsi="Times New Roman" w:cs="Times New Roman"/>
          <w:sz w:val="24"/>
          <w:szCs w:val="24"/>
        </w:rPr>
        <w:t xml:space="preserve">. La présente convention peut être résiliée par l’une des parties signataires par lettre recommandée avec accusé de réception adressée aux autres parties, en respectant un préavis </w:t>
      </w:r>
      <w:r>
        <w:rPr>
          <w:rFonts w:ascii="Times New Roman" w:hAnsi="Times New Roman" w:cs="Times New Roman"/>
          <w:color w:val="auto"/>
          <w:sz w:val="24"/>
          <w:szCs w:val="24"/>
        </w:rPr>
        <w:t>de six mois avant la date d’interruption des services qui est précisée dans ce courrier. Ce préavis peut être ramené à quatre mois d’un commun</w:t>
      </w:r>
      <w:r>
        <w:rPr>
          <w:rFonts w:ascii="Times New Roman" w:hAnsi="Times New Roman" w:cs="Times New Roman"/>
          <w:sz w:val="24"/>
          <w:szCs w:val="24"/>
        </w:rPr>
        <w:t xml:space="preserve"> accord entre les parties. </w:t>
      </w:r>
    </w:p>
    <w:p w14:paraId="63E25DFB" w14:textId="77777777" w:rsidR="00C02640" w:rsidRDefault="00C02640" w:rsidP="00C02640">
      <w:pPr>
        <w:pStyle w:val="NormalWeb"/>
        <w:spacing w:before="0" w:beforeAutospacing="0" w:after="120" w:afterAutospacing="0"/>
        <w:ind w:hanging="1080"/>
        <w:jc w:val="both"/>
        <w:rPr>
          <w:rFonts w:ascii="Times New Roman" w:hAnsi="Times New Roman" w:cs="Times New Roman"/>
          <w:sz w:val="24"/>
          <w:szCs w:val="24"/>
        </w:rPr>
      </w:pPr>
    </w:p>
    <w:p w14:paraId="7E3C506E" w14:textId="77777777" w:rsidR="00C02640" w:rsidRDefault="00C02640" w:rsidP="00C02640">
      <w:pPr>
        <w:keepLines/>
        <w:jc w:val="both"/>
      </w:pPr>
      <w:r>
        <w:rPr>
          <w:b/>
          <w:bCs/>
        </w:rPr>
        <w:t>8.2.</w:t>
      </w:r>
      <w:r>
        <w:t xml:space="preserve"> En cas de non-respect constaté par l’Etat et par la chambre de commerce et d’industrie de l’une des obligations de service public sur lesquelles il s’est engagé, le transporteur est informé par lettre recommandée, dûment motivée, des griefs qui lui sont opposés et est invité à se conformer à ses obligations. Cette lettre est envoyée par l’une au moins des deux autres parties qui s’en informent mutuellement. A l’issue d’une période d’un mois à compter de la date d’envoi de la lettre recommandée, si le transporteur n’assure pas le service dans les conditions initialement fixées, il est réputé avoir résilié la convention sans préavis. Dans ce cas, le transporteur se voit appliquer la pénalité mentionnée à l’article 9.B.2 sur la base d’un nombre de mois de carence fixé forfaitairement à six mois. </w:t>
      </w:r>
    </w:p>
    <w:p w14:paraId="6AE67B87" w14:textId="77777777" w:rsidR="00C02640" w:rsidRDefault="00C02640" w:rsidP="00C02640">
      <w:pPr>
        <w:keepLines/>
        <w:jc w:val="both"/>
      </w:pPr>
    </w:p>
    <w:p w14:paraId="271DD5B7" w14:textId="77777777" w:rsidR="00C02640" w:rsidRDefault="00C02640" w:rsidP="00C02640">
      <w:pPr>
        <w:keepLines/>
        <w:jc w:val="both"/>
      </w:pPr>
      <w:r>
        <w:t>Toutefois, pour éviter toute rupture de continuité du service, les parties peuvent, dans le délai d’un mois courant après l’envoi de la lettre recommandée mentionnée à l’alinéa précédent, décider d’un commun accord que le transporteur assure l’exploitation, jusqu’à la sélection d’un nouvel exploitant, dans des conditions convenues entre les parties : ces conditions font alors l’objet d’un avenant à la présente convention.</w:t>
      </w:r>
    </w:p>
    <w:p w14:paraId="3E9CA812" w14:textId="77777777" w:rsidR="00C02640" w:rsidRDefault="00C02640" w:rsidP="00C02640">
      <w:pPr>
        <w:keepLines/>
        <w:jc w:val="both"/>
      </w:pPr>
    </w:p>
    <w:p w14:paraId="1AE8852C" w14:textId="77777777" w:rsidR="00C02640" w:rsidRDefault="00C02640" w:rsidP="00C02640">
      <w:pPr>
        <w:keepLines/>
        <w:jc w:val="both"/>
      </w:pPr>
      <w:r>
        <w:t>Pendant cette période, le transporteur ne se voit pas appliquer les pénalités prévues à l’article 9 de la présente convention, si les manquements aux obligations de service public observés le cas échéant sont conformes aux conditions convenues entre les parties. En outre, le transporteur ne se voit pas appliquer de pénalité pour résiliation de la convention sans préavis.</w:t>
      </w:r>
    </w:p>
    <w:p w14:paraId="65499929" w14:textId="77777777" w:rsidR="00C02640" w:rsidRDefault="00C02640" w:rsidP="00C02640">
      <w:pPr>
        <w:pStyle w:val="NormalWeb"/>
        <w:spacing w:before="0" w:beforeAutospacing="0" w:after="120" w:afterAutospacing="0"/>
        <w:jc w:val="both"/>
      </w:pPr>
    </w:p>
    <w:p w14:paraId="4F9CC126" w14:textId="77777777" w:rsidR="004C3B9C" w:rsidRDefault="004C3B9C">
      <w:pPr>
        <w:pStyle w:val="NormalWeb"/>
        <w:spacing w:before="0" w:beforeAutospacing="0" w:after="0" w:afterAutospacing="0"/>
        <w:jc w:val="both"/>
        <w:rPr>
          <w:rFonts w:ascii="Times New Roman" w:hAnsi="Times New Roman" w:cs="Times New Roman"/>
          <w:sz w:val="22"/>
          <w:szCs w:val="22"/>
        </w:rPr>
      </w:pPr>
    </w:p>
    <w:p w14:paraId="4BAAA905" w14:textId="77777777" w:rsidR="004C3B9C" w:rsidRDefault="004C3B9C">
      <w:pPr>
        <w:pStyle w:val="NormalWeb"/>
        <w:spacing w:before="0" w:beforeAutospacing="0" w:after="0" w:afterAutospacing="0"/>
        <w:jc w:val="both"/>
        <w:rPr>
          <w:rFonts w:ascii="Times New Roman" w:hAnsi="Times New Roman" w:cs="Times New Roman"/>
          <w:sz w:val="22"/>
          <w:szCs w:val="22"/>
        </w:rPr>
      </w:pPr>
    </w:p>
    <w:p w14:paraId="6D22F2F7" w14:textId="77777777" w:rsidR="00EB672F" w:rsidRDefault="00EB672F">
      <w:pPr>
        <w:pBdr>
          <w:top w:val="single" w:sz="4" w:space="6" w:color="auto"/>
          <w:left w:val="single" w:sz="4" w:space="4" w:color="auto"/>
          <w:bottom w:val="single" w:sz="4" w:space="1" w:color="auto"/>
          <w:right w:val="single" w:sz="4" w:space="4" w:color="auto"/>
        </w:pBdr>
        <w:shd w:val="clear" w:color="auto" w:fill="FFFF99"/>
        <w:jc w:val="both"/>
        <w:rPr>
          <w:b/>
          <w:bCs/>
          <w:color w:val="000000"/>
        </w:rPr>
      </w:pPr>
      <w:r>
        <w:rPr>
          <w:b/>
          <w:bCs/>
          <w:color w:val="000000"/>
        </w:rPr>
        <w:t xml:space="preserve">Article 9 : </w:t>
      </w:r>
      <w:r w:rsidR="00256F49">
        <w:rPr>
          <w:b/>
          <w:bCs/>
          <w:color w:val="000000"/>
        </w:rPr>
        <w:t>Pénalités et r</w:t>
      </w:r>
      <w:r>
        <w:rPr>
          <w:b/>
          <w:bCs/>
          <w:color w:val="000000"/>
        </w:rPr>
        <w:t>éduction de la compensation financière versée au transporteur</w:t>
      </w:r>
    </w:p>
    <w:p w14:paraId="70CFD8E0" w14:textId="77777777" w:rsidR="00EB672F" w:rsidRDefault="00EB672F">
      <w:pPr>
        <w:pStyle w:val="NormalWeb"/>
        <w:spacing w:before="0" w:beforeAutospacing="0" w:after="0" w:afterAutospacing="0"/>
        <w:jc w:val="both"/>
        <w:rPr>
          <w:sz w:val="22"/>
          <w:szCs w:val="22"/>
        </w:rPr>
      </w:pPr>
    </w:p>
    <w:p w14:paraId="646015BB" w14:textId="77777777" w:rsidR="00C02640" w:rsidRDefault="00C02640" w:rsidP="00C02640">
      <w:pPr>
        <w:pStyle w:val="NormalWeb"/>
        <w:spacing w:before="0" w:beforeAutospacing="0" w:after="60" w:afterAutospacing="0"/>
        <w:ind w:left="708"/>
        <w:jc w:val="both"/>
        <w:rPr>
          <w:rFonts w:ascii="Times New Roman" w:hAnsi="Times New Roman" w:cs="Times New Roman"/>
          <w:b/>
          <w:sz w:val="24"/>
          <w:szCs w:val="24"/>
        </w:rPr>
      </w:pPr>
      <w:r>
        <w:rPr>
          <w:rFonts w:ascii="Times New Roman" w:hAnsi="Times New Roman" w:cs="Times New Roman"/>
          <w:b/>
          <w:sz w:val="24"/>
          <w:szCs w:val="24"/>
        </w:rPr>
        <w:t>9.A/ Application des pénalités</w:t>
      </w:r>
    </w:p>
    <w:p w14:paraId="552E917B" w14:textId="77777777" w:rsidR="00C02640" w:rsidRDefault="00C02640" w:rsidP="00C02640">
      <w:pPr>
        <w:pStyle w:val="NormalWeb"/>
        <w:spacing w:before="0" w:beforeAutospacing="0" w:after="60" w:afterAutospacing="0"/>
        <w:jc w:val="both"/>
        <w:rPr>
          <w:rFonts w:ascii="Times New Roman" w:hAnsi="Times New Roman" w:cs="Times New Roman"/>
          <w:sz w:val="24"/>
          <w:szCs w:val="24"/>
        </w:rPr>
      </w:pPr>
    </w:p>
    <w:p w14:paraId="769000C2" w14:textId="77777777" w:rsidR="00C02640" w:rsidRDefault="00C02640" w:rsidP="00C02640">
      <w:pPr>
        <w:keepLines/>
        <w:jc w:val="both"/>
        <w:rPr>
          <w:rFonts w:eastAsia="Times New Roman"/>
          <w:szCs w:val="20"/>
          <w:lang w:eastAsia="fr-FR"/>
        </w:rPr>
      </w:pPr>
      <w:r>
        <w:rPr>
          <w:rFonts w:eastAsia="Times New Roman"/>
          <w:szCs w:val="20"/>
          <w:lang w:eastAsia="fr-FR"/>
        </w:rPr>
        <w:t>Sans préjudice de l’application des dispositions de l’article R. 6432-2 du code des transports, les réductions suivantes sont appliquées à la compensation financière maximale fixée à l’article 6 (ou à la compensation due, si le déficit réel est inférieur au montant maximal de compensation) en cas de manquements aux obligations de service public. La détermination des valeurs N', N, J', J, A' et A ci-dessous est arrêtée conjointement par les services de la direction générale de l’Aviation civile et par Chambre de commerce et d’industrie Alsace Eurométropole sur la base des éléments suivants :</w:t>
      </w:r>
    </w:p>
    <w:p w14:paraId="0D7A13F5" w14:textId="77777777" w:rsidR="00C02640" w:rsidRDefault="00C02640" w:rsidP="00C02640">
      <w:pPr>
        <w:keepLines/>
        <w:jc w:val="both"/>
        <w:rPr>
          <w:rFonts w:eastAsia="Times New Roman"/>
          <w:szCs w:val="20"/>
          <w:lang w:eastAsia="fr-FR"/>
        </w:rPr>
      </w:pPr>
      <w:r>
        <w:rPr>
          <w:rFonts w:eastAsia="Times New Roman"/>
          <w:szCs w:val="20"/>
          <w:lang w:eastAsia="fr-FR"/>
        </w:rPr>
        <w:t>– procès-verbal d’examen de l’exécution du service prévu à l’article 5 ;</w:t>
      </w:r>
    </w:p>
    <w:p w14:paraId="1F5C4CB0" w14:textId="77777777" w:rsidR="00C02640" w:rsidRDefault="00C02640" w:rsidP="00C02640">
      <w:pPr>
        <w:keepLines/>
        <w:jc w:val="both"/>
        <w:rPr>
          <w:rFonts w:eastAsia="Times New Roman"/>
          <w:color w:val="000000"/>
          <w:lang w:eastAsia="fr-FR"/>
        </w:rPr>
      </w:pPr>
      <w:r>
        <w:rPr>
          <w:rFonts w:eastAsia="Times New Roman"/>
          <w:szCs w:val="20"/>
          <w:lang w:eastAsia="fr-FR"/>
        </w:rPr>
        <w:t>– observations formulées par le transporteur aérien sur les raisons des manquements aux obligations de service public qui lui seraient imputables</w:t>
      </w:r>
      <w:r>
        <w:rPr>
          <w:rFonts w:eastAsia="Times New Roman"/>
          <w:color w:val="000000"/>
          <w:lang w:eastAsia="fr-FR"/>
        </w:rPr>
        <w:t>.</w:t>
      </w:r>
    </w:p>
    <w:p w14:paraId="32F6B5A2" w14:textId="77777777" w:rsidR="00C02640" w:rsidRDefault="00C02640" w:rsidP="00C02640">
      <w:pPr>
        <w:keepLines/>
        <w:jc w:val="both"/>
        <w:rPr>
          <w:rFonts w:eastAsia="Times New Roman"/>
          <w:color w:val="000000"/>
          <w:lang w:eastAsia="fr-FR"/>
        </w:rPr>
      </w:pPr>
    </w:p>
    <w:p w14:paraId="3DA2DC72" w14:textId="77777777" w:rsidR="00C02640" w:rsidRDefault="00C02640" w:rsidP="00C02640">
      <w:pPr>
        <w:pStyle w:val="NormalWeb"/>
        <w:spacing w:before="0" w:beforeAutospacing="0" w:after="60" w:afterAutospacing="0"/>
        <w:ind w:left="708"/>
        <w:jc w:val="both"/>
        <w:rPr>
          <w:rFonts w:ascii="Times New Roman" w:hAnsi="Times New Roman" w:cs="Times New Roman"/>
          <w:b/>
          <w:sz w:val="24"/>
          <w:szCs w:val="24"/>
        </w:rPr>
      </w:pPr>
      <w:r>
        <w:rPr>
          <w:rFonts w:ascii="Times New Roman" w:hAnsi="Times New Roman" w:cs="Times New Roman"/>
          <w:b/>
          <w:sz w:val="24"/>
          <w:szCs w:val="24"/>
        </w:rPr>
        <w:t>9.B/ Calcul des pénalités</w:t>
      </w:r>
    </w:p>
    <w:p w14:paraId="2BEFDE07" w14:textId="77777777" w:rsidR="00C02640" w:rsidRDefault="00C02640" w:rsidP="00C02640">
      <w:pPr>
        <w:jc w:val="both"/>
        <w:rPr>
          <w:rFonts w:eastAsia="Times New Roman"/>
          <w:b/>
          <w:lang w:eastAsia="fr-FR"/>
        </w:rPr>
      </w:pPr>
      <w:r>
        <w:rPr>
          <w:rFonts w:eastAsia="Times New Roman"/>
          <w:b/>
          <w:lang w:eastAsia="fr-FR"/>
        </w:rPr>
        <w:t>9.B.1 Absence d’exploitation de la liaison hors cas de force majeure</w:t>
      </w:r>
    </w:p>
    <w:p w14:paraId="2C257980" w14:textId="77777777" w:rsidR="00C02640" w:rsidRDefault="00C02640" w:rsidP="00C02640">
      <w:pPr>
        <w:keepLines/>
        <w:jc w:val="both"/>
        <w:rPr>
          <w:rFonts w:eastAsia="Times New Roman"/>
          <w:lang w:eastAsia="fr-FR"/>
        </w:rPr>
      </w:pPr>
      <w:r>
        <w:rPr>
          <w:rFonts w:eastAsia="Times New Roman"/>
          <w:szCs w:val="20"/>
          <w:lang w:eastAsia="fr-FR"/>
        </w:rPr>
        <w:t>En l’absence d’exploitation de la liaison attribuée pendant plus d’un mois, hors cas de force majeure,</w:t>
      </w:r>
      <w:r>
        <w:rPr>
          <w:rFonts w:eastAsia="Times New Roman"/>
          <w:b/>
          <w:szCs w:val="20"/>
          <w:lang w:eastAsia="fr-FR"/>
        </w:rPr>
        <w:t xml:space="preserve"> </w:t>
      </w:r>
      <w:r>
        <w:rPr>
          <w:rFonts w:eastAsia="Times New Roman"/>
          <w:szCs w:val="20"/>
          <w:lang w:eastAsia="fr-FR"/>
        </w:rPr>
        <w:t>la pénalité est forfaitairement fixée à la moitié de la compensation maximale demandée pour la période d’exploitation considérée. Par ailleurs, les réductions prévues par les paragraphes 9.B.2 et suivants s’appliquent dès que la liaison est exploitée.</w:t>
      </w:r>
    </w:p>
    <w:p w14:paraId="34B2FDDD" w14:textId="77777777" w:rsidR="00C02640" w:rsidRDefault="00C02640" w:rsidP="00C02640">
      <w:pPr>
        <w:keepLines/>
        <w:ind w:firstLine="708"/>
        <w:jc w:val="both"/>
        <w:rPr>
          <w:rFonts w:eastAsia="Times New Roman"/>
          <w:lang w:eastAsia="fr-FR"/>
        </w:rPr>
      </w:pPr>
    </w:p>
    <w:p w14:paraId="51C1E35F" w14:textId="77777777" w:rsidR="00C02640" w:rsidRDefault="00C02640" w:rsidP="00C02640">
      <w:pPr>
        <w:keepLines/>
        <w:jc w:val="both"/>
        <w:rPr>
          <w:rFonts w:eastAsia="Times New Roman"/>
          <w:szCs w:val="20"/>
          <w:lang w:eastAsia="fr-FR"/>
        </w:rPr>
      </w:pPr>
      <w:r>
        <w:rPr>
          <w:rFonts w:eastAsia="Times New Roman"/>
          <w:b/>
          <w:szCs w:val="20"/>
          <w:lang w:eastAsia="fr-FR"/>
        </w:rPr>
        <w:t>9.B.2 Non-respect du délai de préavis</w:t>
      </w:r>
    </w:p>
    <w:p w14:paraId="163C966C" w14:textId="77777777" w:rsidR="00C02640" w:rsidRDefault="00C02640" w:rsidP="00C02640">
      <w:pPr>
        <w:jc w:val="both"/>
        <w:rPr>
          <w:rFonts w:eastAsia="Times New Roman"/>
          <w:lang w:eastAsia="fr-FR"/>
        </w:rPr>
      </w:pPr>
      <w:r>
        <w:rPr>
          <w:rFonts w:eastAsia="Times New Roman"/>
          <w:lang w:eastAsia="fr-FR"/>
        </w:rPr>
        <w:t>Au cas où le transporteur ne respecterait pas le délai de préavis d’interruption des services prévu à l’article 8 de la présente convention, et au cas où aucune amende administrative n’est prononcée pour ce motif, en application de l’article R. 6432-2 du code des transports, à son encontre, il est appliqué une réduction du montant maximal de la compensation financière au titre de la période d’exploitation considérée, calculée selon la formule suivante :</w:t>
      </w:r>
    </w:p>
    <w:p w14:paraId="2D6357B8" w14:textId="77777777" w:rsidR="00C02640" w:rsidRDefault="00C02640" w:rsidP="00C02640">
      <w:pPr>
        <w:jc w:val="both"/>
        <w:rPr>
          <w:rFonts w:eastAsia="Times New Roman"/>
          <w:sz w:val="22"/>
          <w:szCs w:val="22"/>
          <w:lang w:eastAsia="fr-FR"/>
        </w:rPr>
      </w:pPr>
    </w:p>
    <w:p w14:paraId="5729074F" w14:textId="77777777" w:rsidR="00C02640" w:rsidRDefault="00C02640" w:rsidP="00C02640">
      <w:pPr>
        <w:keepLines/>
        <w:jc w:val="center"/>
        <w:rPr>
          <w:rFonts w:eastAsia="Times New Roman"/>
          <w:b/>
          <w:lang w:eastAsia="fr-FR"/>
        </w:rPr>
      </w:pPr>
      <w:r>
        <w:rPr>
          <w:rFonts w:eastAsia="Times New Roman"/>
          <w:lang w:eastAsia="fr-FR"/>
        </w:rPr>
        <w:t>R = D x M’,</w:t>
      </w:r>
    </w:p>
    <w:p w14:paraId="5C0A36E4" w14:textId="77777777" w:rsidR="00C02640" w:rsidRDefault="00C02640" w:rsidP="00C02640">
      <w:pPr>
        <w:keepLines/>
        <w:jc w:val="both"/>
        <w:rPr>
          <w:rFonts w:eastAsia="Times New Roman"/>
          <w:lang w:eastAsia="fr-FR"/>
        </w:rPr>
      </w:pPr>
      <w:proofErr w:type="gramStart"/>
      <w:r>
        <w:rPr>
          <w:rFonts w:eastAsia="Times New Roman"/>
          <w:lang w:eastAsia="fr-FR"/>
        </w:rPr>
        <w:t>où</w:t>
      </w:r>
      <w:proofErr w:type="gramEnd"/>
      <w:r>
        <w:rPr>
          <w:rFonts w:eastAsia="Times New Roman"/>
          <w:lang w:eastAsia="fr-FR"/>
        </w:rPr>
        <w:t xml:space="preserve"> </w:t>
      </w:r>
    </w:p>
    <w:p w14:paraId="0EE8B6D4" w14:textId="77777777" w:rsidR="00C02640" w:rsidRDefault="00C02640" w:rsidP="00C02640">
      <w:pPr>
        <w:keepLines/>
        <w:ind w:firstLine="708"/>
        <w:jc w:val="both"/>
        <w:rPr>
          <w:rFonts w:eastAsia="Times New Roman"/>
          <w:lang w:eastAsia="fr-FR"/>
        </w:rPr>
      </w:pPr>
      <w:r>
        <w:rPr>
          <w:rFonts w:eastAsia="Times New Roman"/>
          <w:lang w:eastAsia="fr-FR"/>
        </w:rPr>
        <w:t>R : montant de la réduction ;</w:t>
      </w:r>
    </w:p>
    <w:p w14:paraId="10BA8902" w14:textId="77777777" w:rsidR="00C02640" w:rsidRDefault="00C02640" w:rsidP="00C02640">
      <w:pPr>
        <w:keepLines/>
        <w:ind w:firstLine="708"/>
        <w:jc w:val="both"/>
        <w:rPr>
          <w:rFonts w:eastAsia="Times New Roman"/>
          <w:lang w:eastAsia="fr-FR"/>
        </w:rPr>
      </w:pPr>
      <w:r>
        <w:rPr>
          <w:rFonts w:eastAsia="Times New Roman"/>
          <w:lang w:eastAsia="fr-FR"/>
        </w:rPr>
        <w:t xml:space="preserve">D : douzième de la compensation financière maximale pour la période d’exploitation annuelle considérée ; </w:t>
      </w:r>
    </w:p>
    <w:p w14:paraId="5F26C8B9" w14:textId="77777777" w:rsidR="00C02640" w:rsidRDefault="00C02640" w:rsidP="00C02640">
      <w:pPr>
        <w:keepLines/>
        <w:ind w:firstLine="708"/>
        <w:jc w:val="both"/>
        <w:rPr>
          <w:rFonts w:eastAsia="Times New Roman"/>
          <w:lang w:eastAsia="fr-FR"/>
        </w:rPr>
      </w:pPr>
      <w:proofErr w:type="gramStart"/>
      <w:r>
        <w:rPr>
          <w:rFonts w:eastAsia="Times New Roman"/>
          <w:lang w:eastAsia="fr-FR"/>
        </w:rPr>
        <w:t>M’ :</w:t>
      </w:r>
      <w:proofErr w:type="gramEnd"/>
      <w:r>
        <w:rPr>
          <w:rFonts w:eastAsia="Times New Roman"/>
          <w:lang w:eastAsia="fr-FR"/>
        </w:rPr>
        <w:t xml:space="preserve"> nombre de mois de carence par rapport au délai de préavis de 6 mois (arrondi à l’entier inférieur). </w:t>
      </w:r>
    </w:p>
    <w:p w14:paraId="6DEF477B" w14:textId="77777777" w:rsidR="00C02640" w:rsidRDefault="00C02640" w:rsidP="00C02640">
      <w:pPr>
        <w:keepLines/>
        <w:jc w:val="both"/>
        <w:rPr>
          <w:rFonts w:eastAsia="Times New Roman"/>
          <w:szCs w:val="20"/>
          <w:lang w:eastAsia="fr-FR"/>
        </w:rPr>
      </w:pPr>
    </w:p>
    <w:p w14:paraId="0F963791" w14:textId="77777777" w:rsidR="00C02640" w:rsidRDefault="00C02640" w:rsidP="00C02640">
      <w:pPr>
        <w:keepLines/>
        <w:jc w:val="both"/>
        <w:rPr>
          <w:rFonts w:eastAsia="Times New Roman"/>
          <w:b/>
          <w:szCs w:val="20"/>
          <w:lang w:eastAsia="fr-FR"/>
        </w:rPr>
      </w:pPr>
      <w:r>
        <w:rPr>
          <w:rFonts w:eastAsia="Times New Roman"/>
          <w:b/>
          <w:szCs w:val="20"/>
          <w:lang w:eastAsia="fr-FR"/>
        </w:rPr>
        <w:t>9.B.3 Non-respect du nombre de vols</w:t>
      </w:r>
    </w:p>
    <w:p w14:paraId="10DE6F26" w14:textId="77777777" w:rsidR="00C02640" w:rsidRDefault="00C02640" w:rsidP="00C02640">
      <w:pPr>
        <w:jc w:val="both"/>
        <w:rPr>
          <w:rFonts w:eastAsia="Times New Roman"/>
          <w:lang w:eastAsia="fr-FR"/>
        </w:rPr>
      </w:pPr>
      <w:r>
        <w:rPr>
          <w:rFonts w:eastAsia="Times New Roman"/>
          <w:lang w:eastAsia="fr-FR"/>
        </w:rPr>
        <w:t>Au cas où le transporteur annulerait, pour des raisons qui lui sont imputables, un nombre de vols supérieur à 3 % du nombre de vols requis par les obligations de service public ou déterminés conventionnellement, il est appliqué une réduction du montant maximal de la compensation financière au titre de la période d’exploitation considérée, calculée selon la formule suivante :</w:t>
      </w:r>
    </w:p>
    <w:p w14:paraId="405AC47E" w14:textId="77777777" w:rsidR="00C02640" w:rsidRDefault="00C02640" w:rsidP="00C02640">
      <w:pPr>
        <w:jc w:val="both"/>
        <w:rPr>
          <w:rFonts w:eastAsia="Times New Roman"/>
          <w:lang w:eastAsia="fr-FR"/>
        </w:rPr>
      </w:pPr>
    </w:p>
    <w:p w14:paraId="7530FEBF" w14:textId="77777777" w:rsidR="00C02640" w:rsidRDefault="00C02640" w:rsidP="00C02640">
      <w:pPr>
        <w:jc w:val="center"/>
        <w:rPr>
          <w:rFonts w:eastAsia="Times New Roman"/>
          <w:sz w:val="22"/>
          <w:szCs w:val="22"/>
          <w:lang w:eastAsia="fr-FR"/>
        </w:rPr>
      </w:pPr>
      <w:r>
        <w:rPr>
          <w:rFonts w:eastAsia="Times New Roman"/>
          <w:position w:val="-20"/>
          <w:sz w:val="22"/>
          <w:szCs w:val="22"/>
          <w:lang w:eastAsia="fr-FR"/>
        </w:rPr>
        <w:object w:dxaOrig="960" w:dyaOrig="500" w14:anchorId="3969BB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5pt;height:25pt" o:ole="">
            <v:imagedata r:id="rId8" o:title=""/>
          </v:shape>
          <o:OLEObject Type="Embed" ProgID="Equation.3" ShapeID="_x0000_i1025" DrawAspect="Content" ObjectID="_1815900196" r:id="rId9"/>
        </w:object>
      </w:r>
      <w:r>
        <w:rPr>
          <w:rFonts w:eastAsia="Times New Roman"/>
          <w:sz w:val="22"/>
          <w:szCs w:val="22"/>
          <w:lang w:eastAsia="fr-FR"/>
        </w:rPr>
        <w:t>,</w:t>
      </w:r>
    </w:p>
    <w:p w14:paraId="73A9D195" w14:textId="77777777" w:rsidR="00C02640" w:rsidRDefault="00C02640" w:rsidP="00C02640">
      <w:pPr>
        <w:rPr>
          <w:rFonts w:eastAsia="Times New Roman"/>
          <w:sz w:val="22"/>
          <w:szCs w:val="22"/>
          <w:lang w:eastAsia="fr-FR"/>
        </w:rPr>
      </w:pPr>
      <w:proofErr w:type="gramStart"/>
      <w:r>
        <w:rPr>
          <w:rFonts w:eastAsia="Times New Roman"/>
          <w:lang w:eastAsia="fr-FR"/>
        </w:rPr>
        <w:t>où</w:t>
      </w:r>
      <w:proofErr w:type="gramEnd"/>
      <w:r>
        <w:rPr>
          <w:rFonts w:eastAsia="Times New Roman"/>
          <w:sz w:val="22"/>
          <w:szCs w:val="22"/>
          <w:lang w:eastAsia="fr-FR"/>
        </w:rPr>
        <w:tab/>
      </w:r>
    </w:p>
    <w:p w14:paraId="54DA260E" w14:textId="77777777" w:rsidR="00C02640" w:rsidRDefault="00C02640" w:rsidP="00C02640">
      <w:pPr>
        <w:ind w:firstLine="708"/>
        <w:rPr>
          <w:rFonts w:eastAsia="Times New Roman"/>
          <w:lang w:eastAsia="fr-FR"/>
        </w:rPr>
      </w:pPr>
      <w:r>
        <w:rPr>
          <w:rFonts w:eastAsia="Times New Roman"/>
          <w:sz w:val="22"/>
          <w:szCs w:val="22"/>
          <w:lang w:eastAsia="fr-FR"/>
        </w:rPr>
        <w:t xml:space="preserve">R : </w:t>
      </w:r>
      <w:r>
        <w:rPr>
          <w:rFonts w:eastAsia="Times New Roman"/>
          <w:lang w:eastAsia="fr-FR"/>
        </w:rPr>
        <w:t>facteur de réduction ;</w:t>
      </w:r>
    </w:p>
    <w:p w14:paraId="4FF2DAB3" w14:textId="77777777" w:rsidR="00C02640" w:rsidRDefault="00C02640" w:rsidP="00C02640">
      <w:pPr>
        <w:ind w:firstLine="708"/>
        <w:jc w:val="both"/>
        <w:rPr>
          <w:rFonts w:eastAsia="Times New Roman"/>
          <w:lang w:eastAsia="fr-FR"/>
        </w:rPr>
      </w:pPr>
      <w:r>
        <w:rPr>
          <w:rFonts w:eastAsia="Times New Roman"/>
          <w:sz w:val="22"/>
          <w:szCs w:val="22"/>
          <w:lang w:eastAsia="fr-FR"/>
        </w:rPr>
        <w:t xml:space="preserve">N : </w:t>
      </w:r>
      <w:r>
        <w:rPr>
          <w:rFonts w:eastAsia="Times New Roman"/>
          <w:lang w:eastAsia="fr-FR"/>
        </w:rPr>
        <w:t>nombre de vols requis par les obligations de service public ou déterminés conventionnellement ;</w:t>
      </w:r>
    </w:p>
    <w:p w14:paraId="32BCE948" w14:textId="77777777" w:rsidR="00C02640" w:rsidRDefault="00C02640" w:rsidP="00C02640">
      <w:pPr>
        <w:ind w:firstLine="720"/>
        <w:jc w:val="both"/>
        <w:rPr>
          <w:rFonts w:eastAsia="Times New Roman"/>
          <w:lang w:eastAsia="fr-FR"/>
        </w:rPr>
      </w:pPr>
      <w:proofErr w:type="gramStart"/>
      <w:r>
        <w:rPr>
          <w:rFonts w:eastAsia="Times New Roman"/>
          <w:sz w:val="22"/>
          <w:szCs w:val="22"/>
          <w:lang w:eastAsia="fr-FR"/>
        </w:rPr>
        <w:t>N' :</w:t>
      </w:r>
      <w:proofErr w:type="gramEnd"/>
      <w:r>
        <w:rPr>
          <w:rFonts w:eastAsia="Times New Roman"/>
          <w:sz w:val="22"/>
          <w:szCs w:val="22"/>
          <w:lang w:eastAsia="fr-FR"/>
        </w:rPr>
        <w:t xml:space="preserve"> </w:t>
      </w:r>
      <w:r>
        <w:rPr>
          <w:rFonts w:eastAsia="Times New Roman"/>
          <w:lang w:eastAsia="fr-FR"/>
        </w:rPr>
        <w:t>nombre de vols annulés pour raisons imputables au transporteur au-delà de 3 % des vols requis par les obligations de service public ou déterminés conventionnellement.</w:t>
      </w:r>
    </w:p>
    <w:p w14:paraId="144E4A59" w14:textId="77777777" w:rsidR="00C02640" w:rsidRDefault="00C02640" w:rsidP="00C02640">
      <w:pPr>
        <w:ind w:left="900" w:hanging="180"/>
        <w:jc w:val="both"/>
        <w:rPr>
          <w:rFonts w:eastAsia="Times New Roman"/>
          <w:lang w:eastAsia="fr-FR"/>
        </w:rPr>
      </w:pPr>
    </w:p>
    <w:p w14:paraId="1A86EDFC" w14:textId="77777777" w:rsidR="00C02640" w:rsidRDefault="00C02640" w:rsidP="00C02640">
      <w:pPr>
        <w:keepLines/>
        <w:jc w:val="both"/>
        <w:rPr>
          <w:rFonts w:eastAsia="Times New Roman"/>
          <w:b/>
          <w:szCs w:val="20"/>
          <w:lang w:eastAsia="fr-FR"/>
        </w:rPr>
      </w:pPr>
      <w:r>
        <w:rPr>
          <w:rFonts w:eastAsia="Times New Roman"/>
          <w:b/>
          <w:szCs w:val="20"/>
          <w:lang w:eastAsia="fr-FR"/>
        </w:rPr>
        <w:lastRenderedPageBreak/>
        <w:t>9.B.4 Non-respect de la capacité minimale exigée</w:t>
      </w:r>
    </w:p>
    <w:p w14:paraId="4564921F" w14:textId="77777777" w:rsidR="00C02640" w:rsidRDefault="00C02640" w:rsidP="00C02640">
      <w:pPr>
        <w:jc w:val="both"/>
        <w:rPr>
          <w:rFonts w:eastAsia="Times New Roman"/>
          <w:lang w:eastAsia="fr-FR"/>
        </w:rPr>
      </w:pPr>
      <w:r>
        <w:rPr>
          <w:rFonts w:eastAsia="Times New Roman"/>
          <w:lang w:eastAsia="fr-FR"/>
        </w:rPr>
        <w:t>Au cas où le transporteur n’utiliserait pas un appareil offrant une capacité conforme à celle requise par les obligations de service public ou déterminés conventionnellement, il est appliqué une réduction du montant maximal de la compensation financière au titre de la période d’exploitation considérée, calculée selon la formule suivante :</w:t>
      </w:r>
    </w:p>
    <w:p w14:paraId="3E46843B" w14:textId="77777777" w:rsidR="00C02640" w:rsidRDefault="00C02640" w:rsidP="00C02640">
      <w:pPr>
        <w:jc w:val="both"/>
        <w:rPr>
          <w:rFonts w:eastAsia="Times New Roman"/>
          <w:lang w:eastAsia="fr-FR"/>
        </w:rPr>
      </w:pPr>
    </w:p>
    <w:p w14:paraId="324BA486" w14:textId="77777777" w:rsidR="00C02640" w:rsidRDefault="00C02640" w:rsidP="00C02640">
      <w:pPr>
        <w:jc w:val="center"/>
        <w:rPr>
          <w:rFonts w:eastAsia="Times New Roman"/>
          <w:sz w:val="22"/>
          <w:szCs w:val="22"/>
          <w:lang w:eastAsia="fr-FR"/>
        </w:rPr>
      </w:pPr>
      <w:r>
        <w:rPr>
          <w:rFonts w:eastAsia="Times New Roman"/>
          <w:position w:val="-20"/>
          <w:sz w:val="22"/>
          <w:szCs w:val="22"/>
          <w:lang w:eastAsia="fr-FR"/>
        </w:rPr>
        <w:object w:dxaOrig="1390" w:dyaOrig="510" w14:anchorId="285A7419">
          <v:shape id="_x0000_i1026" type="#_x0000_t75" style="width:69.6pt;height:25.45pt" o:ole="">
            <v:imagedata r:id="rId10" o:title=""/>
          </v:shape>
          <o:OLEObject Type="Embed" ProgID="Equation.3" ShapeID="_x0000_i1026" DrawAspect="Content" ObjectID="_1815900197" r:id="rId11"/>
        </w:object>
      </w:r>
      <w:r>
        <w:rPr>
          <w:rFonts w:eastAsia="Times New Roman"/>
          <w:sz w:val="22"/>
          <w:szCs w:val="22"/>
          <w:lang w:eastAsia="fr-FR"/>
        </w:rPr>
        <w:t>,</w:t>
      </w:r>
    </w:p>
    <w:p w14:paraId="1AF38166" w14:textId="77777777" w:rsidR="00C02640" w:rsidRDefault="00C02640" w:rsidP="00C02640">
      <w:pPr>
        <w:rPr>
          <w:rFonts w:eastAsia="Times New Roman"/>
          <w:sz w:val="22"/>
          <w:szCs w:val="22"/>
          <w:lang w:eastAsia="fr-FR"/>
        </w:rPr>
      </w:pPr>
      <w:proofErr w:type="gramStart"/>
      <w:r>
        <w:rPr>
          <w:rFonts w:eastAsia="Times New Roman"/>
          <w:lang w:eastAsia="fr-FR"/>
        </w:rPr>
        <w:t>où</w:t>
      </w:r>
      <w:proofErr w:type="gramEnd"/>
      <w:r>
        <w:rPr>
          <w:rFonts w:eastAsia="Times New Roman"/>
          <w:sz w:val="22"/>
          <w:szCs w:val="22"/>
          <w:lang w:eastAsia="fr-FR"/>
        </w:rPr>
        <w:tab/>
      </w:r>
    </w:p>
    <w:p w14:paraId="0AB7DBEF" w14:textId="77777777" w:rsidR="00C02640" w:rsidRDefault="00C02640" w:rsidP="00C02640">
      <w:pPr>
        <w:ind w:firstLine="708"/>
        <w:rPr>
          <w:rFonts w:eastAsia="Times New Roman"/>
          <w:lang w:eastAsia="fr-FR"/>
        </w:rPr>
      </w:pPr>
      <w:r>
        <w:rPr>
          <w:rFonts w:eastAsia="Times New Roman"/>
          <w:sz w:val="22"/>
          <w:szCs w:val="22"/>
          <w:lang w:eastAsia="fr-FR"/>
        </w:rPr>
        <w:t>R : facteur</w:t>
      </w:r>
      <w:r>
        <w:rPr>
          <w:rFonts w:eastAsia="Times New Roman"/>
          <w:lang w:eastAsia="fr-FR"/>
        </w:rPr>
        <w:t xml:space="preserve"> de réduction ;</w:t>
      </w:r>
    </w:p>
    <w:p w14:paraId="4A7D03F0" w14:textId="77777777" w:rsidR="00C02640" w:rsidRDefault="00C02640" w:rsidP="00C02640">
      <w:pPr>
        <w:ind w:firstLine="708"/>
        <w:jc w:val="both"/>
        <w:rPr>
          <w:rFonts w:eastAsia="Times New Roman"/>
          <w:sz w:val="22"/>
          <w:szCs w:val="22"/>
          <w:lang w:eastAsia="fr-FR"/>
        </w:rPr>
      </w:pPr>
      <w:r>
        <w:rPr>
          <w:rFonts w:eastAsia="Times New Roman"/>
          <w:sz w:val="22"/>
          <w:szCs w:val="22"/>
          <w:lang w:eastAsia="fr-FR"/>
        </w:rPr>
        <w:t xml:space="preserve">A' : </w:t>
      </w:r>
      <w:r>
        <w:rPr>
          <w:rFonts w:eastAsia="Times New Roman"/>
          <w:lang w:eastAsia="fr-FR"/>
        </w:rPr>
        <w:t>différence entre le nombre de sièges offerts et le nombre de sièges requis ou déterminés conventionnellement ;</w:t>
      </w:r>
    </w:p>
    <w:p w14:paraId="390CFD28" w14:textId="77777777" w:rsidR="00C02640" w:rsidRDefault="00C02640" w:rsidP="00C02640">
      <w:pPr>
        <w:ind w:firstLine="708"/>
        <w:rPr>
          <w:rFonts w:eastAsia="Times New Roman"/>
          <w:lang w:eastAsia="fr-FR"/>
        </w:rPr>
      </w:pPr>
      <w:r>
        <w:rPr>
          <w:rFonts w:eastAsia="Times New Roman"/>
          <w:sz w:val="22"/>
          <w:szCs w:val="22"/>
          <w:lang w:eastAsia="fr-FR"/>
        </w:rPr>
        <w:t xml:space="preserve">A : </w:t>
      </w:r>
      <w:r>
        <w:rPr>
          <w:rFonts w:eastAsia="Times New Roman"/>
          <w:lang w:eastAsia="fr-FR"/>
        </w:rPr>
        <w:t>nombre de sièges requis ou déterminés conventionnellement ;</w:t>
      </w:r>
    </w:p>
    <w:p w14:paraId="4258C1BF" w14:textId="77777777" w:rsidR="00C02640" w:rsidRDefault="00C02640" w:rsidP="00C02640">
      <w:pPr>
        <w:ind w:firstLine="708"/>
        <w:jc w:val="both"/>
        <w:rPr>
          <w:rFonts w:eastAsia="Times New Roman"/>
          <w:lang w:eastAsia="fr-FR"/>
        </w:rPr>
      </w:pPr>
      <w:r>
        <w:rPr>
          <w:rFonts w:eastAsia="Times New Roman"/>
          <w:sz w:val="22"/>
          <w:szCs w:val="22"/>
          <w:lang w:eastAsia="fr-FR"/>
        </w:rPr>
        <w:t xml:space="preserve">N : </w:t>
      </w:r>
      <w:r>
        <w:rPr>
          <w:rFonts w:eastAsia="Times New Roman"/>
          <w:lang w:eastAsia="fr-FR"/>
        </w:rPr>
        <w:t>nombre de vols requis par les obligations de service public ou déterminés conventionnellement ;</w:t>
      </w:r>
    </w:p>
    <w:p w14:paraId="620D8A89" w14:textId="77777777" w:rsidR="00C02640" w:rsidRDefault="00C02640" w:rsidP="00C02640">
      <w:pPr>
        <w:ind w:firstLine="720"/>
        <w:jc w:val="both"/>
        <w:rPr>
          <w:rFonts w:eastAsia="Times New Roman"/>
          <w:lang w:eastAsia="fr-FR"/>
        </w:rPr>
      </w:pPr>
      <w:proofErr w:type="gramStart"/>
      <w:r>
        <w:rPr>
          <w:rFonts w:eastAsia="Times New Roman"/>
          <w:sz w:val="22"/>
          <w:szCs w:val="22"/>
          <w:lang w:eastAsia="fr-FR"/>
        </w:rPr>
        <w:t>N' :</w:t>
      </w:r>
      <w:proofErr w:type="gramEnd"/>
      <w:r>
        <w:rPr>
          <w:rFonts w:eastAsia="Times New Roman"/>
          <w:sz w:val="22"/>
          <w:szCs w:val="22"/>
          <w:lang w:eastAsia="fr-FR"/>
        </w:rPr>
        <w:t xml:space="preserve"> </w:t>
      </w:r>
      <w:r>
        <w:rPr>
          <w:rFonts w:eastAsia="Times New Roman"/>
          <w:lang w:eastAsia="fr-FR"/>
        </w:rPr>
        <w:t>nombre de vols annulés pour raisons imputables au transporteur au-delà de 3 % des vols requis par les obligations de service public ou déterminés conventionnellement.</w:t>
      </w:r>
    </w:p>
    <w:p w14:paraId="3C8894EB" w14:textId="77777777" w:rsidR="00C02640" w:rsidRDefault="00C02640" w:rsidP="00C02640">
      <w:pPr>
        <w:jc w:val="both"/>
        <w:rPr>
          <w:rFonts w:eastAsia="Times New Roman"/>
          <w:b/>
          <w:lang w:eastAsia="fr-FR"/>
        </w:rPr>
      </w:pPr>
    </w:p>
    <w:p w14:paraId="5EC5CB78" w14:textId="77777777" w:rsidR="00C02640" w:rsidRDefault="00C02640" w:rsidP="00C02640">
      <w:pPr>
        <w:jc w:val="both"/>
        <w:rPr>
          <w:rFonts w:eastAsia="Times New Roman"/>
          <w:lang w:eastAsia="fr-FR"/>
        </w:rPr>
      </w:pPr>
      <w:r>
        <w:rPr>
          <w:rFonts w:eastAsia="Times New Roman"/>
          <w:b/>
          <w:lang w:eastAsia="fr-FR"/>
        </w:rPr>
        <w:t>9.B.5 Non-respect de toute autre obligation de service public</w:t>
      </w:r>
    </w:p>
    <w:p w14:paraId="651B9B19" w14:textId="77777777" w:rsidR="00C02640" w:rsidRDefault="00C02640" w:rsidP="00C02640">
      <w:pPr>
        <w:jc w:val="both"/>
        <w:rPr>
          <w:rFonts w:eastAsia="Times New Roman"/>
          <w:lang w:eastAsia="fr-FR"/>
        </w:rPr>
      </w:pPr>
      <w:r>
        <w:rPr>
          <w:rFonts w:eastAsia="Times New Roman"/>
          <w:lang w:eastAsia="fr-FR"/>
        </w:rPr>
        <w:t>Pour tout autre cas de manquement limité aux obligations de service public (par exemple en termes d’horaires des vols les jours de session du Parlement européen ou d’escale avec changement d’appareil), il est appliqué une réduction du montant maximal de la compensation financière au titre de la période d’exploitation considérée, calculée selon la formule suivante :</w:t>
      </w:r>
    </w:p>
    <w:p w14:paraId="6F1A0C7C" w14:textId="77777777" w:rsidR="00C02640" w:rsidRDefault="00C02640" w:rsidP="00C02640">
      <w:pPr>
        <w:jc w:val="both"/>
        <w:rPr>
          <w:rFonts w:eastAsia="Times New Roman"/>
          <w:lang w:eastAsia="fr-FR"/>
        </w:rPr>
      </w:pPr>
    </w:p>
    <w:p w14:paraId="555DDB4B" w14:textId="77777777" w:rsidR="00C02640" w:rsidRDefault="00C02640" w:rsidP="00C02640">
      <w:pPr>
        <w:ind w:left="227" w:hanging="227"/>
        <w:jc w:val="center"/>
        <w:rPr>
          <w:rFonts w:eastAsia="Times New Roman"/>
          <w:sz w:val="22"/>
          <w:szCs w:val="22"/>
          <w:lang w:eastAsia="fr-FR"/>
        </w:rPr>
      </w:pPr>
      <w:r>
        <w:rPr>
          <w:rFonts w:eastAsia="Times New Roman"/>
          <w:position w:val="-20"/>
          <w:sz w:val="22"/>
          <w:szCs w:val="22"/>
          <w:lang w:eastAsia="fr-FR"/>
        </w:rPr>
        <w:object w:dxaOrig="1130" w:dyaOrig="500" w14:anchorId="31249B21">
          <v:shape id="_x0000_i1027" type="#_x0000_t75" style="width:56.55pt;height:25pt" o:ole="">
            <v:imagedata r:id="rId12" o:title=""/>
          </v:shape>
          <o:OLEObject Type="Embed" ProgID="Equation.3" ShapeID="_x0000_i1027" DrawAspect="Content" ObjectID="_1815900198" r:id="rId13"/>
        </w:object>
      </w:r>
    </w:p>
    <w:p w14:paraId="0CB2BBF8" w14:textId="77777777" w:rsidR="00C02640" w:rsidRDefault="00C02640" w:rsidP="00C02640">
      <w:pPr>
        <w:ind w:left="227" w:hanging="227"/>
        <w:jc w:val="both"/>
        <w:rPr>
          <w:rFonts w:eastAsia="Times New Roman"/>
          <w:sz w:val="22"/>
          <w:szCs w:val="22"/>
          <w:lang w:eastAsia="fr-FR"/>
        </w:rPr>
      </w:pPr>
      <w:proofErr w:type="gramStart"/>
      <w:r>
        <w:rPr>
          <w:rFonts w:eastAsia="Times New Roman"/>
          <w:lang w:eastAsia="fr-FR"/>
        </w:rPr>
        <w:t>où</w:t>
      </w:r>
      <w:proofErr w:type="gramEnd"/>
      <w:r>
        <w:rPr>
          <w:rFonts w:eastAsia="Times New Roman"/>
          <w:lang w:eastAsia="fr-FR"/>
        </w:rPr>
        <w:t xml:space="preserve"> </w:t>
      </w:r>
      <w:r>
        <w:rPr>
          <w:rFonts w:eastAsia="Times New Roman"/>
          <w:sz w:val="22"/>
          <w:szCs w:val="22"/>
          <w:lang w:eastAsia="fr-FR"/>
        </w:rPr>
        <w:tab/>
      </w:r>
    </w:p>
    <w:p w14:paraId="3FE1C5E7" w14:textId="77777777" w:rsidR="00C02640" w:rsidRDefault="00C02640" w:rsidP="00C02640">
      <w:pPr>
        <w:ind w:left="227" w:firstLine="481"/>
        <w:jc w:val="both"/>
        <w:rPr>
          <w:rFonts w:eastAsia="Times New Roman"/>
          <w:sz w:val="22"/>
          <w:szCs w:val="22"/>
          <w:lang w:eastAsia="fr-FR"/>
        </w:rPr>
      </w:pPr>
      <w:r>
        <w:rPr>
          <w:rFonts w:eastAsia="Times New Roman"/>
          <w:sz w:val="22"/>
          <w:szCs w:val="22"/>
          <w:lang w:eastAsia="fr-FR"/>
        </w:rPr>
        <w:t xml:space="preserve">R : </w:t>
      </w:r>
      <w:r>
        <w:rPr>
          <w:rFonts w:eastAsia="Times New Roman"/>
          <w:lang w:eastAsia="fr-FR"/>
        </w:rPr>
        <w:t>facteur de réduction ;</w:t>
      </w:r>
    </w:p>
    <w:p w14:paraId="5371FA38" w14:textId="77777777" w:rsidR="00C02640" w:rsidRDefault="00C02640" w:rsidP="00C02640">
      <w:pPr>
        <w:ind w:firstLine="708"/>
        <w:jc w:val="both"/>
        <w:rPr>
          <w:rFonts w:eastAsia="Times New Roman"/>
          <w:sz w:val="22"/>
          <w:szCs w:val="22"/>
          <w:lang w:eastAsia="fr-FR"/>
        </w:rPr>
      </w:pPr>
      <w:r>
        <w:rPr>
          <w:rFonts w:eastAsia="Times New Roman"/>
          <w:sz w:val="22"/>
          <w:szCs w:val="22"/>
          <w:lang w:eastAsia="fr-FR"/>
        </w:rPr>
        <w:t xml:space="preserve">J : </w:t>
      </w:r>
      <w:r>
        <w:rPr>
          <w:rFonts w:eastAsia="Times New Roman"/>
          <w:lang w:eastAsia="fr-FR"/>
        </w:rPr>
        <w:t>nombre de jours d’exploitation requis par les obligations de service public ;</w:t>
      </w:r>
    </w:p>
    <w:p w14:paraId="5699253D" w14:textId="77777777" w:rsidR="00C02640" w:rsidRDefault="00C02640" w:rsidP="00C02640">
      <w:pPr>
        <w:ind w:firstLine="708"/>
        <w:jc w:val="both"/>
        <w:rPr>
          <w:rFonts w:eastAsia="Times New Roman"/>
          <w:lang w:eastAsia="fr-FR"/>
        </w:rPr>
      </w:pPr>
      <w:proofErr w:type="gramStart"/>
      <w:r>
        <w:rPr>
          <w:rFonts w:eastAsia="Times New Roman"/>
          <w:sz w:val="22"/>
          <w:szCs w:val="22"/>
          <w:lang w:eastAsia="fr-FR"/>
        </w:rPr>
        <w:t>J' :</w:t>
      </w:r>
      <w:proofErr w:type="gramEnd"/>
      <w:r>
        <w:rPr>
          <w:rFonts w:eastAsia="Times New Roman"/>
          <w:sz w:val="22"/>
          <w:szCs w:val="22"/>
          <w:lang w:eastAsia="fr-FR"/>
        </w:rPr>
        <w:t xml:space="preserve"> </w:t>
      </w:r>
      <w:r>
        <w:rPr>
          <w:rFonts w:eastAsia="Times New Roman"/>
          <w:lang w:eastAsia="fr-FR"/>
        </w:rPr>
        <w:t>nombre de jours de manquements aux obligations de service public.</w:t>
      </w:r>
    </w:p>
    <w:p w14:paraId="4C366868" w14:textId="77777777" w:rsidR="00C02640" w:rsidRDefault="00C02640" w:rsidP="00C02640">
      <w:pPr>
        <w:ind w:firstLine="708"/>
        <w:jc w:val="both"/>
        <w:rPr>
          <w:rFonts w:eastAsia="Times New Roman"/>
          <w:lang w:eastAsia="fr-FR"/>
        </w:rPr>
      </w:pPr>
    </w:p>
    <w:p w14:paraId="5E50300D" w14:textId="77777777" w:rsidR="00C02640" w:rsidRDefault="00C02640" w:rsidP="00C02640">
      <w:pPr>
        <w:jc w:val="both"/>
        <w:rPr>
          <w:rFonts w:eastAsia="Times New Roman"/>
          <w:lang w:eastAsia="fr-FR"/>
        </w:rPr>
      </w:pPr>
    </w:p>
    <w:p w14:paraId="45504D7F" w14:textId="77777777" w:rsidR="00C02640" w:rsidRDefault="00C02640" w:rsidP="00C02640">
      <w:pPr>
        <w:keepLines/>
        <w:jc w:val="both"/>
        <w:rPr>
          <w:rFonts w:eastAsia="Times New Roman"/>
          <w:szCs w:val="20"/>
          <w:lang w:eastAsia="fr-FR"/>
        </w:rPr>
      </w:pPr>
    </w:p>
    <w:p w14:paraId="34B9D4C2" w14:textId="77777777" w:rsidR="00C02640" w:rsidRDefault="00C02640" w:rsidP="00C02640">
      <w:pPr>
        <w:keepLines/>
        <w:ind w:left="708"/>
        <w:jc w:val="both"/>
        <w:rPr>
          <w:rFonts w:eastAsia="Times New Roman"/>
          <w:b/>
          <w:szCs w:val="20"/>
          <w:lang w:eastAsia="fr-FR"/>
        </w:rPr>
      </w:pPr>
      <w:r>
        <w:rPr>
          <w:rFonts w:eastAsia="Times New Roman"/>
          <w:b/>
          <w:szCs w:val="20"/>
          <w:lang w:eastAsia="fr-FR"/>
        </w:rPr>
        <w:t>9.C/ Réduction de la compensation en cas d’impossibilité d’exploitation pour cause de force majeure</w:t>
      </w:r>
    </w:p>
    <w:p w14:paraId="5823E53A" w14:textId="77777777" w:rsidR="00C02640" w:rsidRDefault="00C02640" w:rsidP="00C02640">
      <w:pPr>
        <w:keepLines/>
        <w:jc w:val="both"/>
        <w:rPr>
          <w:rFonts w:eastAsia="Times New Roman"/>
          <w:szCs w:val="20"/>
          <w:lang w:eastAsia="fr-FR"/>
        </w:rPr>
      </w:pPr>
    </w:p>
    <w:p w14:paraId="741DB83C" w14:textId="77777777" w:rsidR="00C02640" w:rsidRDefault="00C02640" w:rsidP="00C02640">
      <w:pPr>
        <w:keepLines/>
        <w:jc w:val="both"/>
        <w:rPr>
          <w:rFonts w:eastAsia="Times New Roman"/>
          <w:szCs w:val="20"/>
          <w:lang w:eastAsia="fr-FR"/>
        </w:rPr>
      </w:pPr>
      <w:r>
        <w:rPr>
          <w:rFonts w:eastAsia="Times New Roman"/>
          <w:szCs w:val="20"/>
          <w:lang w:eastAsia="fr-FR"/>
        </w:rPr>
        <w:t>Au cas où le transporteur ne pourrait exploiter la liaison concernée, pour cause de force majeure, le montant de la compensation financière est réduit au prorata des vols non effectués.</w:t>
      </w:r>
    </w:p>
    <w:p w14:paraId="17E4324D" w14:textId="77777777" w:rsidR="00EB672F" w:rsidRDefault="00EB672F" w:rsidP="00256F49">
      <w:pPr>
        <w:pStyle w:val="NormalWeb"/>
        <w:spacing w:before="0" w:beforeAutospacing="0" w:after="0" w:afterAutospacing="0"/>
        <w:jc w:val="both"/>
        <w:rPr>
          <w:rFonts w:ascii="Times New Roman" w:hAnsi="Times New Roman" w:cs="Times New Roman"/>
          <w:sz w:val="24"/>
          <w:szCs w:val="24"/>
        </w:rPr>
      </w:pPr>
    </w:p>
    <w:p w14:paraId="286A85A5" w14:textId="77777777" w:rsidR="00EB672F" w:rsidRDefault="00EB672F">
      <w:pPr>
        <w:pStyle w:val="NormalWeb"/>
        <w:spacing w:before="0" w:beforeAutospacing="0" w:after="0" w:afterAutospacing="0"/>
        <w:ind w:firstLine="708"/>
        <w:jc w:val="both"/>
        <w:rPr>
          <w:rFonts w:ascii="Times New Roman" w:hAnsi="Times New Roman" w:cs="Times New Roman"/>
          <w:sz w:val="24"/>
          <w:szCs w:val="24"/>
        </w:rPr>
      </w:pPr>
    </w:p>
    <w:p w14:paraId="1995E455" w14:textId="77777777" w:rsidR="00EB672F" w:rsidRDefault="00EB672F">
      <w:pPr>
        <w:pBdr>
          <w:top w:val="single" w:sz="4" w:space="6" w:color="auto"/>
          <w:left w:val="single" w:sz="4" w:space="4" w:color="auto"/>
          <w:bottom w:val="single" w:sz="4" w:space="1" w:color="auto"/>
          <w:right w:val="single" w:sz="4" w:space="4" w:color="auto"/>
        </w:pBdr>
        <w:shd w:val="clear" w:color="auto" w:fill="FFFF99"/>
        <w:jc w:val="both"/>
        <w:rPr>
          <w:b/>
          <w:bCs/>
          <w:color w:val="000000"/>
        </w:rPr>
      </w:pPr>
      <w:r>
        <w:rPr>
          <w:b/>
          <w:bCs/>
        </w:rPr>
        <w:t xml:space="preserve">Article </w:t>
      </w:r>
      <w:proofErr w:type="gramStart"/>
      <w:r>
        <w:rPr>
          <w:b/>
          <w:bCs/>
        </w:rPr>
        <w:t>10:</w:t>
      </w:r>
      <w:proofErr w:type="gramEnd"/>
      <w:r>
        <w:rPr>
          <w:b/>
          <w:bCs/>
        </w:rPr>
        <w:t xml:space="preserve"> Litiges</w:t>
      </w:r>
    </w:p>
    <w:p w14:paraId="26655F1B" w14:textId="77777777" w:rsidR="00F907CF" w:rsidRDefault="00EB672F">
      <w:pPr>
        <w:pStyle w:val="NormalWeb"/>
        <w:jc w:val="both"/>
        <w:rPr>
          <w:rFonts w:ascii="Times New Roman" w:hAnsi="Times New Roman" w:cs="Times New Roman"/>
          <w:sz w:val="24"/>
          <w:szCs w:val="24"/>
        </w:rPr>
      </w:pPr>
      <w:r>
        <w:rPr>
          <w:rFonts w:ascii="Times New Roman" w:hAnsi="Times New Roman" w:cs="Times New Roman"/>
          <w:sz w:val="24"/>
          <w:szCs w:val="24"/>
        </w:rPr>
        <w:t>D’un commun accord, les parties conviennent de rechercher un règlement à l’amiable pour tous les litiges pouvant naître de l’interprétation ou de l’exécution de la présente convention.</w:t>
      </w:r>
    </w:p>
    <w:p w14:paraId="19FE5A90" w14:textId="77777777" w:rsidR="0002779F" w:rsidRDefault="0002779F" w:rsidP="0002779F">
      <w:pPr>
        <w:keepLines/>
        <w:jc w:val="both"/>
      </w:pPr>
      <w:r>
        <w:lastRenderedPageBreak/>
        <w:t>Si, à cette occasion, un différend survient entre le transporteur et les parties concourant au financement, il fait l’objet de la part du transporteur d’un mémoire de réclamation. Les parties concourant au financement disposent d’un délai d’un mois à compter de la réception dudit mémoire pour notifier leur décision. L’absence de décision vaut rejet de la réclamation. Après un rejet de réclamation, le transporteur peut porter l’action en justice devant le Tribunal administratif compétent, en l’espèce celui de Paris.</w:t>
      </w:r>
    </w:p>
    <w:p w14:paraId="4DE5124A" w14:textId="77777777" w:rsidR="0002779F" w:rsidRDefault="0002779F" w:rsidP="0002779F">
      <w:pPr>
        <w:keepLines/>
        <w:jc w:val="both"/>
      </w:pPr>
    </w:p>
    <w:p w14:paraId="67FB81C3" w14:textId="77777777" w:rsidR="0002779F" w:rsidRDefault="0002779F" w:rsidP="0002779F">
      <w:pPr>
        <w:keepLines/>
        <w:jc w:val="both"/>
      </w:pPr>
      <w:r>
        <w:t>En dernier ressort, tout litige subsistant entre les parties pourra être porté devant le Tribunal administratif de Paris.</w:t>
      </w:r>
    </w:p>
    <w:p w14:paraId="36AE10B9" w14:textId="77777777" w:rsidR="0002779F" w:rsidRDefault="0002779F" w:rsidP="0002779F">
      <w:pPr>
        <w:keepLines/>
        <w:jc w:val="both"/>
      </w:pPr>
    </w:p>
    <w:p w14:paraId="4EC45ED9" w14:textId="77777777" w:rsidR="0002779F" w:rsidRPr="0002779F" w:rsidRDefault="0002779F" w:rsidP="0002779F">
      <w:pPr>
        <w:pBdr>
          <w:top w:val="single" w:sz="4" w:space="6" w:color="auto"/>
          <w:left w:val="single" w:sz="4" w:space="4" w:color="auto"/>
          <w:bottom w:val="single" w:sz="4" w:space="1" w:color="auto"/>
          <w:right w:val="single" w:sz="4" w:space="4" w:color="auto"/>
        </w:pBdr>
        <w:shd w:val="clear" w:color="auto" w:fill="FFFF99"/>
        <w:jc w:val="both"/>
        <w:rPr>
          <w:b/>
          <w:bCs/>
        </w:rPr>
      </w:pPr>
      <w:r w:rsidRPr="0002779F">
        <w:rPr>
          <w:b/>
          <w:bCs/>
        </w:rPr>
        <w:t>Article 11 : Obligations du transporteur</w:t>
      </w:r>
    </w:p>
    <w:p w14:paraId="5E779C46" w14:textId="77777777" w:rsidR="0002779F" w:rsidRDefault="0002779F" w:rsidP="0002779F">
      <w:pPr>
        <w:keepLines/>
        <w:jc w:val="both"/>
      </w:pPr>
    </w:p>
    <w:p w14:paraId="2DB3036C" w14:textId="77777777" w:rsidR="0002779F" w:rsidRDefault="0002779F" w:rsidP="0002779F">
      <w:pPr>
        <w:keepLines/>
        <w:ind w:left="708"/>
        <w:jc w:val="both"/>
        <w:rPr>
          <w:b/>
        </w:rPr>
      </w:pPr>
      <w:r>
        <w:rPr>
          <w:b/>
        </w:rPr>
        <w:t>11.A/ Obligation de discrétion</w:t>
      </w:r>
    </w:p>
    <w:p w14:paraId="4796FF7B" w14:textId="77777777" w:rsidR="0002779F" w:rsidRDefault="0002779F" w:rsidP="0002779F">
      <w:pPr>
        <w:keepLines/>
        <w:jc w:val="both"/>
      </w:pPr>
    </w:p>
    <w:p w14:paraId="06D3E2D6" w14:textId="77777777" w:rsidR="0002779F" w:rsidRDefault="0002779F" w:rsidP="0002779F">
      <w:pPr>
        <w:keepLines/>
        <w:jc w:val="both"/>
      </w:pPr>
      <w:r>
        <w:t xml:space="preserve">Le transporteur s’engage pour lui ou toute autre personne agissant pour son compte à tenir confidentielle toute autre communication de renseignements ou documents que celle expressément prévue à la présente convention et à ne faire, dans les mêmes conditions, aucune communication sur les missions qui lui sont confiées. Tout manquement à l’obligation de discrétion justifie la mise en œuvre immédiate à l’encontre du transporteur des poursuites prévues par les articles 411-6 et 226-13 du code pénal. Tout incident en la matière doit être impérativement porté dans les plus brefs délais à la connaissance du représentant de l’Etat ainsi qu’au représentant de la Chambre de Commerce et d’Industrie Alsace </w:t>
      </w:r>
      <w:proofErr w:type="spellStart"/>
      <w:r>
        <w:t>Eurometropole</w:t>
      </w:r>
      <w:proofErr w:type="spellEnd"/>
      <w:r>
        <w:t>.</w:t>
      </w:r>
    </w:p>
    <w:p w14:paraId="09B1D45B" w14:textId="77777777" w:rsidR="0002779F" w:rsidRDefault="0002779F" w:rsidP="0002779F">
      <w:pPr>
        <w:keepLines/>
        <w:jc w:val="both"/>
      </w:pPr>
    </w:p>
    <w:p w14:paraId="062C6BC6" w14:textId="77777777" w:rsidR="0002779F" w:rsidRDefault="0002779F" w:rsidP="0002779F">
      <w:pPr>
        <w:keepLines/>
        <w:ind w:firstLine="708"/>
        <w:jc w:val="both"/>
        <w:rPr>
          <w:b/>
        </w:rPr>
      </w:pPr>
      <w:r>
        <w:rPr>
          <w:b/>
        </w:rPr>
        <w:t>11.B/ Accord commercial</w:t>
      </w:r>
    </w:p>
    <w:p w14:paraId="712F2DB2" w14:textId="77777777" w:rsidR="0002779F" w:rsidRDefault="0002779F" w:rsidP="0002779F">
      <w:pPr>
        <w:keepLines/>
        <w:jc w:val="both"/>
      </w:pPr>
    </w:p>
    <w:p w14:paraId="39F8EA4B" w14:textId="77777777" w:rsidR="0002779F" w:rsidRDefault="0002779F" w:rsidP="0002779F">
      <w:pPr>
        <w:keepLines/>
        <w:jc w:val="both"/>
      </w:pPr>
      <w:r>
        <w:t>Dans le cas où, pour l’exploitation de la liaison faisant l’objet de la présente convention, le transporteur a conclu un accord commercial avec un autre transporteur aérien communautaire, il reste seul responsable du respect des obligations découlant de la convention de délégation de service public.</w:t>
      </w:r>
    </w:p>
    <w:p w14:paraId="1D4116FD" w14:textId="77777777" w:rsidR="0002779F" w:rsidRDefault="0002779F" w:rsidP="0002779F">
      <w:pPr>
        <w:keepLines/>
        <w:jc w:val="both"/>
      </w:pPr>
    </w:p>
    <w:p w14:paraId="651BB649" w14:textId="77777777" w:rsidR="0002779F" w:rsidRDefault="0002779F" w:rsidP="0002779F">
      <w:pPr>
        <w:keepLines/>
        <w:jc w:val="both"/>
      </w:pPr>
    </w:p>
    <w:p w14:paraId="732CE835" w14:textId="77777777" w:rsidR="007168EE" w:rsidRDefault="007168EE">
      <w:pPr>
        <w:pStyle w:val="NormalWeb"/>
        <w:spacing w:before="0" w:beforeAutospacing="0" w:after="0" w:afterAutospacing="0"/>
        <w:rPr>
          <w:rFonts w:ascii="Times New Roman" w:hAnsi="Times New Roman" w:cs="Times New Roman"/>
          <w:b/>
          <w:bCs/>
          <w:sz w:val="32"/>
          <w:szCs w:val="32"/>
        </w:rPr>
      </w:pPr>
      <w:r>
        <w:rPr>
          <w:rFonts w:ascii="Times New Roman" w:hAnsi="Times New Roman" w:cs="Times New Roman"/>
          <w:sz w:val="24"/>
          <w:szCs w:val="24"/>
        </w:rPr>
        <w:br w:type="page"/>
      </w:r>
      <w:r w:rsidR="00A368C4">
        <w:rPr>
          <w:rFonts w:ascii="Times New Roman" w:hAnsi="Times New Roman" w:cs="Times New Roman"/>
          <w:sz w:val="24"/>
          <w:szCs w:val="24"/>
        </w:rPr>
        <w:lastRenderedPageBreak/>
        <w:t xml:space="preserve">Fait à                  </w:t>
      </w:r>
      <w:proofErr w:type="gramStart"/>
      <w:r w:rsidR="00A368C4">
        <w:rPr>
          <w:rFonts w:ascii="Times New Roman" w:hAnsi="Times New Roman" w:cs="Times New Roman"/>
          <w:sz w:val="24"/>
          <w:szCs w:val="24"/>
        </w:rPr>
        <w:t xml:space="preserve">  ,</w:t>
      </w:r>
      <w:proofErr w:type="gramEnd"/>
      <w:r w:rsidR="00A368C4">
        <w:rPr>
          <w:rFonts w:ascii="Times New Roman" w:hAnsi="Times New Roman" w:cs="Times New Roman"/>
          <w:sz w:val="24"/>
          <w:szCs w:val="24"/>
        </w:rPr>
        <w:t xml:space="preserve"> le</w:t>
      </w:r>
    </w:p>
    <w:p w14:paraId="1CD5235B" w14:textId="77777777" w:rsidR="00EB672F" w:rsidRDefault="00EB672F">
      <w:pPr>
        <w:pStyle w:val="NormalWeb"/>
        <w:spacing w:before="0" w:beforeAutospacing="0" w:after="0" w:afterAutospacing="0"/>
        <w:rPr>
          <w:rFonts w:ascii="Times New Roman" w:hAnsi="Times New Roman" w:cs="Times New Roman"/>
          <w:color w:val="auto"/>
          <w:sz w:val="24"/>
          <w:szCs w:val="24"/>
        </w:rPr>
      </w:pPr>
      <w:r>
        <w:rPr>
          <w:rFonts w:ascii="Times New Roman" w:hAnsi="Times New Roman" w:cs="Times New Roman"/>
          <w:b/>
          <w:bCs/>
          <w:color w:val="auto"/>
          <w:sz w:val="24"/>
          <w:szCs w:val="24"/>
        </w:rPr>
        <w:t>Le transporteur :</w:t>
      </w:r>
    </w:p>
    <w:p w14:paraId="37BA1554" w14:textId="77777777" w:rsidR="00D42909" w:rsidRPr="00D42909" w:rsidRDefault="00D42909">
      <w:pPr>
        <w:pStyle w:val="NormalWeb"/>
        <w:spacing w:before="0" w:beforeAutospacing="0" w:after="0" w:afterAutospacing="0"/>
        <w:rPr>
          <w:rFonts w:ascii="Times New Roman" w:hAnsi="Times New Roman" w:cs="Times New Roman"/>
          <w:color w:val="FF0000"/>
          <w:sz w:val="24"/>
          <w:szCs w:val="24"/>
        </w:rPr>
      </w:pPr>
      <w:r w:rsidRPr="00D42909">
        <w:rPr>
          <w:rFonts w:ascii="Times New Roman" w:hAnsi="Times New Roman" w:cs="Times New Roman"/>
          <w:color w:val="FF0000"/>
          <w:sz w:val="24"/>
          <w:szCs w:val="24"/>
        </w:rPr>
        <w:t>M/ Mme prénom NOM, fonction</w:t>
      </w:r>
    </w:p>
    <w:p w14:paraId="78D104FD" w14:textId="77777777" w:rsidR="00EB672F" w:rsidRDefault="00EB672F">
      <w:pPr>
        <w:pStyle w:val="NormalWeb"/>
        <w:rPr>
          <w:rFonts w:ascii="Times New Roman" w:hAnsi="Times New Roman" w:cs="Times New Roman"/>
          <w:sz w:val="24"/>
          <w:szCs w:val="24"/>
        </w:rPr>
      </w:pPr>
    </w:p>
    <w:p w14:paraId="05B95713" w14:textId="77777777" w:rsidR="007168EE" w:rsidRDefault="007168EE">
      <w:pPr>
        <w:pStyle w:val="NormalWeb"/>
        <w:rPr>
          <w:rFonts w:ascii="Times New Roman" w:hAnsi="Times New Roman" w:cs="Times New Roman"/>
          <w:sz w:val="24"/>
          <w:szCs w:val="24"/>
        </w:rPr>
      </w:pPr>
    </w:p>
    <w:p w14:paraId="324E1C71" w14:textId="77777777" w:rsidR="00EB672F" w:rsidRDefault="00EB672F">
      <w:pPr>
        <w:pStyle w:val="NormalWeb"/>
        <w:rPr>
          <w:rFonts w:ascii="Times New Roman" w:hAnsi="Times New Roman" w:cs="Times New Roman"/>
          <w:sz w:val="24"/>
          <w:szCs w:val="24"/>
        </w:rPr>
      </w:pPr>
    </w:p>
    <w:p w14:paraId="79A5D8CA" w14:textId="77777777" w:rsidR="00422B53" w:rsidRDefault="00422B53">
      <w:pPr>
        <w:pStyle w:val="NormalWeb"/>
        <w:rPr>
          <w:rFonts w:ascii="Times New Roman" w:hAnsi="Times New Roman" w:cs="Times New Roman"/>
          <w:sz w:val="24"/>
          <w:szCs w:val="24"/>
        </w:rPr>
      </w:pPr>
    </w:p>
    <w:p w14:paraId="6A7AB0FF" w14:textId="77777777" w:rsidR="00D42909" w:rsidRDefault="00A368C4" w:rsidP="00D42909">
      <w:pPr>
        <w:pStyle w:val="NormalWeb"/>
        <w:spacing w:before="0" w:beforeAutospacing="0" w:after="0" w:afterAutospacing="0"/>
        <w:rPr>
          <w:rFonts w:ascii="Times New Roman" w:hAnsi="Times New Roman" w:cs="Times New Roman"/>
          <w:b/>
          <w:bCs/>
          <w:sz w:val="24"/>
          <w:szCs w:val="24"/>
        </w:rPr>
      </w:pPr>
      <w:r>
        <w:rPr>
          <w:rFonts w:ascii="Times New Roman" w:hAnsi="Times New Roman" w:cs="Times New Roman"/>
          <w:sz w:val="24"/>
          <w:szCs w:val="24"/>
        </w:rPr>
        <w:t xml:space="preserve">Fait </w:t>
      </w:r>
      <w:r w:rsidR="000C4F0F">
        <w:rPr>
          <w:rFonts w:ascii="Times New Roman" w:hAnsi="Times New Roman" w:cs="Times New Roman"/>
          <w:sz w:val="24"/>
          <w:szCs w:val="24"/>
        </w:rPr>
        <w:t xml:space="preserve">à                 </w:t>
      </w:r>
      <w:proofErr w:type="gramStart"/>
      <w:r w:rsidR="000C4F0F">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le</w:t>
      </w:r>
    </w:p>
    <w:p w14:paraId="7FE50AF6" w14:textId="77777777" w:rsidR="00EB672F" w:rsidRPr="00D42909" w:rsidRDefault="00D079D6" w:rsidP="00D42909">
      <w:pPr>
        <w:pStyle w:val="NormalWeb"/>
        <w:spacing w:before="0" w:beforeAutospacing="0" w:after="0" w:afterAutospacing="0"/>
        <w:rPr>
          <w:rFonts w:ascii="Times New Roman" w:hAnsi="Times New Roman" w:cs="Times New Roman"/>
          <w:b/>
          <w:bCs/>
          <w:sz w:val="24"/>
          <w:szCs w:val="24"/>
        </w:rPr>
      </w:pPr>
      <w:r>
        <w:rPr>
          <w:rFonts w:ascii="Times New Roman" w:hAnsi="Times New Roman" w:cs="Times New Roman"/>
          <w:b/>
          <w:bCs/>
          <w:color w:val="FF0000"/>
          <w:sz w:val="24"/>
          <w:szCs w:val="24"/>
        </w:rPr>
        <w:t xml:space="preserve">La Chambre de commerce et d’industrie Alsace </w:t>
      </w:r>
      <w:proofErr w:type="spellStart"/>
      <w:r>
        <w:rPr>
          <w:rFonts w:ascii="Times New Roman" w:hAnsi="Times New Roman" w:cs="Times New Roman"/>
          <w:b/>
          <w:bCs/>
          <w:color w:val="FF0000"/>
          <w:sz w:val="24"/>
          <w:szCs w:val="24"/>
        </w:rPr>
        <w:t>Eurometropole</w:t>
      </w:r>
      <w:proofErr w:type="spellEnd"/>
    </w:p>
    <w:p w14:paraId="10E287E4" w14:textId="77777777" w:rsidR="00D42909" w:rsidRPr="00A368C4" w:rsidRDefault="00D42909" w:rsidP="00D42909">
      <w:pPr>
        <w:pStyle w:val="NormalWeb"/>
        <w:spacing w:before="0" w:beforeAutospacing="0" w:after="0" w:afterAutospacing="0"/>
        <w:rPr>
          <w:rFonts w:ascii="Times New Roman" w:hAnsi="Times New Roman" w:cs="Times New Roman"/>
          <w:b/>
          <w:bCs/>
          <w:sz w:val="24"/>
          <w:szCs w:val="24"/>
        </w:rPr>
      </w:pPr>
      <w:r w:rsidRPr="00D42909">
        <w:rPr>
          <w:rFonts w:ascii="Times New Roman" w:hAnsi="Times New Roman" w:cs="Times New Roman"/>
          <w:color w:val="FF0000"/>
          <w:sz w:val="24"/>
          <w:szCs w:val="24"/>
        </w:rPr>
        <w:t>M/ Mme prénom NOM,</w:t>
      </w:r>
      <w:r>
        <w:rPr>
          <w:rFonts w:ascii="Times New Roman" w:hAnsi="Times New Roman" w:cs="Times New Roman"/>
          <w:color w:val="FF0000"/>
          <w:sz w:val="24"/>
          <w:szCs w:val="24"/>
        </w:rPr>
        <w:t xml:space="preserve"> fonction</w:t>
      </w:r>
    </w:p>
    <w:p w14:paraId="5D83E781" w14:textId="77777777" w:rsidR="00EB672F" w:rsidRDefault="00EB672F">
      <w:pPr>
        <w:pStyle w:val="NormalWeb"/>
        <w:jc w:val="center"/>
        <w:rPr>
          <w:rFonts w:ascii="Times New Roman" w:hAnsi="Times New Roman" w:cs="Times New Roman"/>
          <w:sz w:val="24"/>
          <w:szCs w:val="24"/>
        </w:rPr>
      </w:pPr>
    </w:p>
    <w:p w14:paraId="28552A1D" w14:textId="77777777" w:rsidR="00F907CF" w:rsidRDefault="00F907CF">
      <w:pPr>
        <w:pStyle w:val="NormalWeb"/>
        <w:jc w:val="center"/>
        <w:rPr>
          <w:rFonts w:ascii="Times New Roman" w:hAnsi="Times New Roman" w:cs="Times New Roman"/>
          <w:sz w:val="24"/>
          <w:szCs w:val="24"/>
        </w:rPr>
      </w:pPr>
    </w:p>
    <w:p w14:paraId="663D63BD" w14:textId="77777777" w:rsidR="007168EE" w:rsidRDefault="007168EE">
      <w:pPr>
        <w:pStyle w:val="NormalWeb"/>
        <w:jc w:val="center"/>
        <w:rPr>
          <w:rFonts w:ascii="Times New Roman" w:hAnsi="Times New Roman" w:cs="Times New Roman"/>
          <w:sz w:val="24"/>
          <w:szCs w:val="24"/>
        </w:rPr>
      </w:pPr>
    </w:p>
    <w:p w14:paraId="5C283541" w14:textId="77777777" w:rsidR="007168EE" w:rsidRDefault="007168EE">
      <w:pPr>
        <w:pStyle w:val="NormalWeb"/>
        <w:jc w:val="center"/>
        <w:rPr>
          <w:rFonts w:ascii="Times New Roman" w:hAnsi="Times New Roman" w:cs="Times New Roman"/>
          <w:sz w:val="24"/>
          <w:szCs w:val="24"/>
        </w:rPr>
      </w:pPr>
    </w:p>
    <w:p w14:paraId="0D8FF886" w14:textId="77777777" w:rsidR="00422B53" w:rsidRDefault="00422B53">
      <w:pPr>
        <w:pStyle w:val="NormalWeb"/>
        <w:jc w:val="center"/>
        <w:rPr>
          <w:rFonts w:ascii="Times New Roman" w:hAnsi="Times New Roman" w:cs="Times New Roman"/>
          <w:sz w:val="24"/>
          <w:szCs w:val="24"/>
        </w:rPr>
      </w:pPr>
    </w:p>
    <w:p w14:paraId="673DF475" w14:textId="77777777" w:rsidR="00A368C4" w:rsidRDefault="00A368C4" w:rsidP="00A368C4">
      <w:pPr>
        <w:pStyle w:val="NormalWeb"/>
        <w:spacing w:before="0" w:beforeAutospacing="0" w:after="0" w:afterAutospacing="0"/>
        <w:rPr>
          <w:rFonts w:ascii="Times New Roman" w:hAnsi="Times New Roman" w:cs="Times New Roman"/>
          <w:b/>
          <w:bCs/>
          <w:sz w:val="24"/>
          <w:szCs w:val="24"/>
        </w:rPr>
      </w:pPr>
      <w:r>
        <w:rPr>
          <w:rFonts w:ascii="Times New Roman" w:hAnsi="Times New Roman" w:cs="Times New Roman"/>
          <w:sz w:val="24"/>
          <w:szCs w:val="24"/>
        </w:rPr>
        <w:t>Fait à Paris, le</w:t>
      </w:r>
    </w:p>
    <w:p w14:paraId="4ED82D28" w14:textId="77777777" w:rsidR="00F907CF" w:rsidRDefault="00EB672F" w:rsidP="00A368C4">
      <w:pPr>
        <w:pStyle w:val="NormalWeb"/>
        <w:spacing w:before="0" w:beforeAutospacing="0"/>
        <w:rPr>
          <w:rFonts w:ascii="Times New Roman" w:hAnsi="Times New Roman" w:cs="Times New Roman"/>
          <w:b/>
          <w:bCs/>
          <w:sz w:val="24"/>
          <w:szCs w:val="24"/>
        </w:rPr>
      </w:pPr>
      <w:r>
        <w:rPr>
          <w:rFonts w:ascii="Times New Roman" w:hAnsi="Times New Roman" w:cs="Times New Roman"/>
          <w:b/>
          <w:bCs/>
          <w:sz w:val="24"/>
          <w:szCs w:val="24"/>
        </w:rPr>
        <w:t>Le ministre chargé de l’Aviation civile :</w:t>
      </w:r>
    </w:p>
    <w:p w14:paraId="56492CA6" w14:textId="77777777" w:rsidR="00EB672F" w:rsidRDefault="00EB672F">
      <w:pPr>
        <w:pStyle w:val="NormalWeb"/>
        <w:rPr>
          <w:rFonts w:ascii="Times New Roman" w:hAnsi="Times New Roman" w:cs="Times New Roman"/>
          <w:sz w:val="24"/>
          <w:szCs w:val="24"/>
        </w:rPr>
      </w:pPr>
      <w:r>
        <w:rPr>
          <w:rFonts w:ascii="Times New Roman" w:hAnsi="Times New Roman" w:cs="Times New Roman"/>
          <w:sz w:val="24"/>
          <w:szCs w:val="24"/>
        </w:rPr>
        <w:t xml:space="preserve"> </w:t>
      </w:r>
    </w:p>
    <w:p w14:paraId="5042C355" w14:textId="77777777" w:rsidR="00EB672F" w:rsidRDefault="00EB672F">
      <w:pPr>
        <w:pStyle w:val="NormalWeb"/>
        <w:rPr>
          <w:rFonts w:ascii="Times New Roman" w:hAnsi="Times New Roman" w:cs="Times New Roman"/>
          <w:sz w:val="24"/>
          <w:szCs w:val="24"/>
        </w:rPr>
      </w:pPr>
    </w:p>
    <w:p w14:paraId="2C4C645A" w14:textId="77777777" w:rsidR="00EB672F" w:rsidRDefault="00EB672F">
      <w:pPr>
        <w:pStyle w:val="NormalWeb"/>
        <w:rPr>
          <w:rFonts w:ascii="Times New Roman" w:hAnsi="Times New Roman" w:cs="Times New Roman"/>
          <w:sz w:val="24"/>
          <w:szCs w:val="24"/>
        </w:rPr>
      </w:pPr>
    </w:p>
    <w:p w14:paraId="09B2ADAF" w14:textId="77777777" w:rsidR="00EB672F" w:rsidRDefault="00EB672F">
      <w:pPr>
        <w:pStyle w:val="NormalWeb"/>
        <w:rPr>
          <w:rFonts w:ascii="Times New Roman" w:hAnsi="Times New Roman" w:cs="Times New Roman"/>
          <w:sz w:val="24"/>
          <w:szCs w:val="24"/>
        </w:rPr>
      </w:pPr>
    </w:p>
    <w:p w14:paraId="26BDD603" w14:textId="77777777" w:rsidR="00F907CF" w:rsidRDefault="00F907CF">
      <w:pPr>
        <w:pStyle w:val="NormalWeb"/>
        <w:rPr>
          <w:rFonts w:ascii="Times New Roman" w:hAnsi="Times New Roman" w:cs="Times New Roman"/>
          <w:sz w:val="24"/>
          <w:szCs w:val="24"/>
        </w:rPr>
      </w:pPr>
    </w:p>
    <w:p w14:paraId="5BC7F6D9" w14:textId="4B829C70" w:rsidR="00EB672F" w:rsidRDefault="00C02640">
      <w:pPr>
        <w:pStyle w:val="NormalWeb"/>
        <w:spacing w:before="0" w:beforeAutospacing="0" w:after="0" w:afterAutospacing="0"/>
        <w:jc w:val="both"/>
        <w:rPr>
          <w:rFonts w:ascii="Times New Roman" w:hAnsi="Times New Roman" w:cs="Times New Roman"/>
          <w:b/>
          <w:bCs/>
          <w:sz w:val="24"/>
          <w:szCs w:val="24"/>
        </w:rPr>
      </w:pPr>
      <w:r w:rsidRPr="00C02640">
        <w:rPr>
          <w:rFonts w:ascii="Times New Roman" w:hAnsi="Times New Roman" w:cs="Times New Roman"/>
          <w:b/>
          <w:bCs/>
          <w:sz w:val="24"/>
          <w:szCs w:val="24"/>
        </w:rPr>
        <w:t xml:space="preserve">Le contrôleur budgétaire près la direction générale de l’Aviation </w:t>
      </w:r>
      <w:proofErr w:type="gramStart"/>
      <w:r w:rsidRPr="00C02640">
        <w:rPr>
          <w:rFonts w:ascii="Times New Roman" w:hAnsi="Times New Roman" w:cs="Times New Roman"/>
          <w:b/>
          <w:bCs/>
          <w:sz w:val="24"/>
          <w:szCs w:val="24"/>
        </w:rPr>
        <w:t>civile</w:t>
      </w:r>
      <w:r w:rsidR="00B2560D">
        <w:rPr>
          <w:rFonts w:ascii="Times New Roman" w:hAnsi="Times New Roman" w:cs="Times New Roman"/>
          <w:b/>
          <w:bCs/>
          <w:sz w:val="24"/>
          <w:szCs w:val="24"/>
        </w:rPr>
        <w:t>:</w:t>
      </w:r>
      <w:proofErr w:type="gramEnd"/>
    </w:p>
    <w:p w14:paraId="2155C0CB" w14:textId="77777777" w:rsidR="00EB672F" w:rsidRDefault="00EB672F"/>
    <w:p w14:paraId="71D1FD0A" w14:textId="77777777" w:rsidR="00EB672F" w:rsidRDefault="00EB672F"/>
    <w:p w14:paraId="1FE56BE9" w14:textId="77777777" w:rsidR="00A5074A" w:rsidRDefault="00A5074A">
      <w:r>
        <w:br w:type="page"/>
      </w:r>
    </w:p>
    <w:p w14:paraId="3F69861D" w14:textId="77777777" w:rsidR="00A5074A" w:rsidRDefault="00A5074A"/>
    <w:p w14:paraId="4E4AD06A" w14:textId="77777777" w:rsidR="00A5074A" w:rsidRDefault="00A5074A"/>
    <w:p w14:paraId="272A5018" w14:textId="77777777" w:rsidR="00A5074A" w:rsidRDefault="00A5074A"/>
    <w:p w14:paraId="1D4F7D8A" w14:textId="77777777" w:rsidR="00A5074A" w:rsidRDefault="00A5074A"/>
    <w:p w14:paraId="0D8FE24A" w14:textId="77777777" w:rsidR="00A5074A" w:rsidRDefault="00A5074A"/>
    <w:p w14:paraId="63E8EB7A" w14:textId="77777777" w:rsidR="00A5074A" w:rsidRDefault="00A5074A"/>
    <w:p w14:paraId="799E82CE" w14:textId="77777777" w:rsidR="00A5074A" w:rsidRPr="00A5074A" w:rsidRDefault="00A5074A">
      <w:pPr>
        <w:rPr>
          <w:sz w:val="28"/>
          <w:szCs w:val="28"/>
        </w:rPr>
      </w:pPr>
    </w:p>
    <w:p w14:paraId="510D10B8" w14:textId="77777777" w:rsidR="00310A46" w:rsidRDefault="00310A46">
      <w:pPr>
        <w:pStyle w:val="NormalWeb"/>
        <w:jc w:val="center"/>
        <w:rPr>
          <w:rFonts w:ascii="Times New Roman" w:hAnsi="Times New Roman" w:cs="Times New Roman"/>
          <w:b/>
          <w:bCs/>
          <w:sz w:val="24"/>
          <w:szCs w:val="24"/>
        </w:rPr>
      </w:pPr>
    </w:p>
    <w:p w14:paraId="7D4754A8" w14:textId="620B760F" w:rsidR="00EB672F" w:rsidRDefault="00EB672F">
      <w:pPr>
        <w:pStyle w:val="NormalWeb"/>
        <w:jc w:val="center"/>
        <w:rPr>
          <w:rFonts w:ascii="Times New Roman" w:hAnsi="Times New Roman" w:cs="Times New Roman"/>
          <w:b/>
          <w:bCs/>
          <w:sz w:val="24"/>
          <w:szCs w:val="24"/>
        </w:rPr>
      </w:pPr>
      <w:r>
        <w:rPr>
          <w:rFonts w:ascii="Times New Roman" w:hAnsi="Times New Roman" w:cs="Times New Roman"/>
          <w:b/>
          <w:bCs/>
          <w:sz w:val="24"/>
          <w:szCs w:val="24"/>
        </w:rPr>
        <w:t xml:space="preserve">A N </w:t>
      </w:r>
      <w:proofErr w:type="spellStart"/>
      <w:r>
        <w:rPr>
          <w:rFonts w:ascii="Times New Roman" w:hAnsi="Times New Roman" w:cs="Times New Roman"/>
          <w:b/>
          <w:bCs/>
          <w:sz w:val="24"/>
          <w:szCs w:val="24"/>
        </w:rPr>
        <w:t>N</w:t>
      </w:r>
      <w:proofErr w:type="spellEnd"/>
      <w:r>
        <w:rPr>
          <w:rFonts w:ascii="Times New Roman" w:hAnsi="Times New Roman" w:cs="Times New Roman"/>
          <w:b/>
          <w:bCs/>
          <w:sz w:val="24"/>
          <w:szCs w:val="24"/>
        </w:rPr>
        <w:t xml:space="preserve"> E X </w:t>
      </w:r>
      <w:r w:rsidR="0032494F">
        <w:rPr>
          <w:rFonts w:ascii="Times New Roman" w:hAnsi="Times New Roman" w:cs="Times New Roman"/>
          <w:b/>
          <w:bCs/>
          <w:sz w:val="24"/>
          <w:szCs w:val="24"/>
        </w:rPr>
        <w:t>E 1</w:t>
      </w:r>
    </w:p>
    <w:p w14:paraId="3487ADDD" w14:textId="77777777" w:rsidR="00EB672F" w:rsidRDefault="00EB672F">
      <w:pPr>
        <w:pStyle w:val="NormalWeb"/>
        <w:jc w:val="center"/>
        <w:rPr>
          <w:rFonts w:ascii="Times New Roman" w:hAnsi="Times New Roman" w:cs="Times New Roman"/>
          <w:b/>
          <w:bCs/>
          <w:sz w:val="24"/>
          <w:szCs w:val="24"/>
        </w:rPr>
      </w:pPr>
    </w:p>
    <w:p w14:paraId="5425C270" w14:textId="77777777" w:rsidR="00EB672F" w:rsidRDefault="00EB672F">
      <w:pPr>
        <w:pStyle w:val="NormalWeb"/>
        <w:jc w:val="center"/>
        <w:rPr>
          <w:rFonts w:ascii="Times New Roman" w:hAnsi="Times New Roman" w:cs="Times New Roman"/>
          <w:b/>
          <w:bCs/>
          <w:sz w:val="24"/>
          <w:szCs w:val="24"/>
        </w:rPr>
      </w:pPr>
    </w:p>
    <w:p w14:paraId="47A123A5" w14:textId="77777777" w:rsidR="00EF52F2" w:rsidRDefault="00EB672F" w:rsidP="00EF52F2">
      <w:pPr>
        <w:pStyle w:val="NormalWeb"/>
        <w:jc w:val="center"/>
        <w:rPr>
          <w:rFonts w:ascii="Times New Roman" w:hAnsi="Times New Roman" w:cs="Times New Roman"/>
          <w:sz w:val="24"/>
          <w:szCs w:val="24"/>
        </w:rPr>
      </w:pPr>
      <w:r w:rsidRPr="007168EE">
        <w:rPr>
          <w:rFonts w:ascii="Times New Roman" w:hAnsi="Times New Roman" w:cs="Times New Roman"/>
          <w:sz w:val="24"/>
          <w:szCs w:val="24"/>
        </w:rPr>
        <w:t>Cette annexe reproduit les obligations de service public publiées</w:t>
      </w:r>
    </w:p>
    <w:p w14:paraId="2B3EC772" w14:textId="77777777" w:rsidR="00395618" w:rsidRDefault="00395618" w:rsidP="00EF52F2">
      <w:pPr>
        <w:pStyle w:val="NormalWeb"/>
        <w:jc w:val="center"/>
        <w:rPr>
          <w:rFonts w:ascii="Times New Roman" w:hAnsi="Times New Roman" w:cs="Times New Roman"/>
          <w:sz w:val="24"/>
          <w:szCs w:val="24"/>
        </w:rPr>
      </w:pPr>
    </w:p>
    <w:p w14:paraId="5D3DE97B" w14:textId="7E2DF719" w:rsidR="00367FAC" w:rsidRDefault="00395618" w:rsidP="00EF52F2">
      <w:pPr>
        <w:pStyle w:val="NormalWeb"/>
        <w:jc w:val="center"/>
        <w:rPr>
          <w:rFonts w:ascii="Times New Roman" w:hAnsi="Times New Roman" w:cs="Times New Roman"/>
          <w:sz w:val="24"/>
          <w:szCs w:val="24"/>
        </w:rPr>
      </w:pPr>
      <w:proofErr w:type="gramStart"/>
      <w:r w:rsidRPr="00395618">
        <w:rPr>
          <w:rFonts w:ascii="Times New Roman" w:hAnsi="Times New Roman" w:cs="Times New Roman"/>
          <w:sz w:val="24"/>
          <w:szCs w:val="24"/>
        </w:rPr>
        <w:t>au</w:t>
      </w:r>
      <w:proofErr w:type="gramEnd"/>
      <w:r w:rsidRPr="00395618">
        <w:rPr>
          <w:rFonts w:ascii="Times New Roman" w:hAnsi="Times New Roman" w:cs="Times New Roman"/>
          <w:sz w:val="24"/>
          <w:szCs w:val="24"/>
        </w:rPr>
        <w:t xml:space="preserve"> </w:t>
      </w:r>
      <w:r w:rsidRPr="00395618">
        <w:rPr>
          <w:rFonts w:ascii="Times New Roman" w:hAnsi="Times New Roman" w:cs="Times New Roman"/>
          <w:i/>
          <w:iCs/>
          <w:sz w:val="24"/>
          <w:szCs w:val="24"/>
        </w:rPr>
        <w:t>Journal officiel</w:t>
      </w:r>
      <w:r w:rsidRPr="00395618">
        <w:rPr>
          <w:rFonts w:ascii="Times New Roman" w:hAnsi="Times New Roman" w:cs="Times New Roman"/>
          <w:sz w:val="24"/>
          <w:szCs w:val="24"/>
        </w:rPr>
        <w:t xml:space="preserve"> de la République française </w:t>
      </w:r>
      <w:r w:rsidRPr="0032494F">
        <w:rPr>
          <w:rFonts w:ascii="Times New Roman" w:hAnsi="Times New Roman" w:cs="Times New Roman"/>
          <w:sz w:val="24"/>
          <w:szCs w:val="24"/>
        </w:rPr>
        <w:t xml:space="preserve">du </w:t>
      </w:r>
      <w:r w:rsidR="0032494F" w:rsidRPr="0032494F">
        <w:rPr>
          <w:rFonts w:ascii="Times New Roman" w:hAnsi="Times New Roman" w:cs="Times New Roman"/>
          <w:sz w:val="24"/>
          <w:szCs w:val="24"/>
        </w:rPr>
        <w:t>30 juillet 2025</w:t>
      </w:r>
      <w:r w:rsidRPr="0032494F">
        <w:rPr>
          <w:rFonts w:ascii="Times New Roman" w:hAnsi="Times New Roman" w:cs="Times New Roman"/>
          <w:sz w:val="24"/>
          <w:szCs w:val="24"/>
        </w:rPr>
        <w:t xml:space="preserve"> s’agissant</w:t>
      </w:r>
      <w:r w:rsidRPr="00395618">
        <w:rPr>
          <w:rFonts w:ascii="Times New Roman" w:hAnsi="Times New Roman" w:cs="Times New Roman"/>
          <w:sz w:val="24"/>
          <w:szCs w:val="24"/>
        </w:rPr>
        <w:t xml:space="preserve"> des obligations de service public imposées sur les services aériens réguliers entre Strasbourg et </w:t>
      </w:r>
      <w:r w:rsidR="00963832">
        <w:rPr>
          <w:rFonts w:ascii="Times New Roman" w:hAnsi="Times New Roman" w:cs="Times New Roman"/>
          <w:sz w:val="24"/>
          <w:szCs w:val="24"/>
        </w:rPr>
        <w:t>Munich</w:t>
      </w:r>
    </w:p>
    <w:p w14:paraId="2B330580" w14:textId="77777777" w:rsidR="00367FAC" w:rsidRDefault="00367FAC" w:rsidP="00EF52F2">
      <w:pPr>
        <w:pStyle w:val="NormalWeb"/>
        <w:jc w:val="center"/>
        <w:rPr>
          <w:rFonts w:ascii="Times New Roman" w:hAnsi="Times New Roman" w:cs="Times New Roman"/>
          <w:sz w:val="24"/>
          <w:szCs w:val="24"/>
        </w:rPr>
      </w:pPr>
    </w:p>
    <w:p w14:paraId="5F66D5F7" w14:textId="65F5D775" w:rsidR="00367FAC" w:rsidRDefault="00367FAC" w:rsidP="00EF52F2">
      <w:pPr>
        <w:pStyle w:val="NormalWeb"/>
        <w:jc w:val="center"/>
        <w:rPr>
          <w:rFonts w:ascii="Times New Roman" w:hAnsi="Times New Roman" w:cs="Times New Roman"/>
          <w:sz w:val="24"/>
          <w:szCs w:val="24"/>
        </w:rPr>
      </w:pPr>
    </w:p>
    <w:p w14:paraId="072B561A" w14:textId="77777777" w:rsidR="00367FAC" w:rsidRDefault="00367FAC" w:rsidP="00EF52F2">
      <w:pPr>
        <w:pStyle w:val="NormalWeb"/>
        <w:jc w:val="center"/>
        <w:rPr>
          <w:rFonts w:ascii="Times New Roman" w:hAnsi="Times New Roman" w:cs="Times New Roman"/>
          <w:sz w:val="24"/>
          <w:szCs w:val="24"/>
        </w:rPr>
      </w:pPr>
    </w:p>
    <w:p w14:paraId="2492D01B" w14:textId="77777777" w:rsidR="00367FAC" w:rsidRDefault="00367FAC" w:rsidP="00EF52F2">
      <w:pPr>
        <w:pStyle w:val="NormalWeb"/>
        <w:jc w:val="center"/>
        <w:rPr>
          <w:rFonts w:ascii="Times New Roman" w:hAnsi="Times New Roman" w:cs="Times New Roman"/>
          <w:sz w:val="24"/>
          <w:szCs w:val="24"/>
        </w:rPr>
      </w:pPr>
    </w:p>
    <w:p w14:paraId="2F46592D" w14:textId="77777777" w:rsidR="00367FAC" w:rsidRDefault="00367FAC" w:rsidP="00EF52F2">
      <w:pPr>
        <w:pStyle w:val="NormalWeb"/>
        <w:jc w:val="center"/>
        <w:rPr>
          <w:rFonts w:ascii="Times New Roman" w:hAnsi="Times New Roman" w:cs="Times New Roman"/>
          <w:sz w:val="24"/>
          <w:szCs w:val="24"/>
        </w:rPr>
      </w:pPr>
    </w:p>
    <w:p w14:paraId="38D7E41F" w14:textId="77777777" w:rsidR="00367FAC" w:rsidRDefault="00367FAC" w:rsidP="00EF52F2">
      <w:pPr>
        <w:pStyle w:val="NormalWeb"/>
        <w:jc w:val="center"/>
        <w:rPr>
          <w:rFonts w:ascii="Times New Roman" w:hAnsi="Times New Roman" w:cs="Times New Roman"/>
          <w:sz w:val="24"/>
          <w:szCs w:val="24"/>
        </w:rPr>
      </w:pPr>
    </w:p>
    <w:p w14:paraId="4D574BC2" w14:textId="77777777" w:rsidR="00367FAC" w:rsidRDefault="00367FAC" w:rsidP="00EF52F2">
      <w:pPr>
        <w:pStyle w:val="NormalWeb"/>
        <w:jc w:val="center"/>
        <w:rPr>
          <w:rFonts w:ascii="Times New Roman" w:hAnsi="Times New Roman" w:cs="Times New Roman"/>
          <w:sz w:val="24"/>
          <w:szCs w:val="24"/>
        </w:rPr>
      </w:pPr>
    </w:p>
    <w:p w14:paraId="29022ACB" w14:textId="77777777" w:rsidR="00367FAC" w:rsidRDefault="00367FAC" w:rsidP="00EF52F2">
      <w:pPr>
        <w:pStyle w:val="NormalWeb"/>
        <w:jc w:val="center"/>
        <w:rPr>
          <w:rFonts w:ascii="Times New Roman" w:hAnsi="Times New Roman" w:cs="Times New Roman"/>
          <w:sz w:val="24"/>
          <w:szCs w:val="24"/>
        </w:rPr>
      </w:pPr>
    </w:p>
    <w:p w14:paraId="53307501" w14:textId="77777777" w:rsidR="00367FAC" w:rsidRDefault="00367FAC" w:rsidP="00EF52F2">
      <w:pPr>
        <w:pStyle w:val="NormalWeb"/>
        <w:jc w:val="center"/>
        <w:rPr>
          <w:rFonts w:ascii="Times New Roman" w:hAnsi="Times New Roman" w:cs="Times New Roman"/>
          <w:sz w:val="24"/>
          <w:szCs w:val="24"/>
        </w:rPr>
      </w:pPr>
    </w:p>
    <w:p w14:paraId="0505773E" w14:textId="77777777" w:rsidR="00367FAC" w:rsidRDefault="00367FAC" w:rsidP="00EF52F2">
      <w:pPr>
        <w:pStyle w:val="NormalWeb"/>
        <w:jc w:val="center"/>
        <w:rPr>
          <w:rFonts w:ascii="Times New Roman" w:hAnsi="Times New Roman" w:cs="Times New Roman"/>
          <w:sz w:val="24"/>
          <w:szCs w:val="24"/>
        </w:rPr>
      </w:pPr>
    </w:p>
    <w:p w14:paraId="3DBC2AC3" w14:textId="77777777" w:rsidR="00367FAC" w:rsidRDefault="00367FAC" w:rsidP="00EF52F2">
      <w:pPr>
        <w:pStyle w:val="NormalWeb"/>
        <w:jc w:val="center"/>
        <w:rPr>
          <w:rFonts w:ascii="Times New Roman" w:hAnsi="Times New Roman" w:cs="Times New Roman"/>
          <w:sz w:val="24"/>
          <w:szCs w:val="24"/>
        </w:rPr>
      </w:pPr>
    </w:p>
    <w:p w14:paraId="76C15F3E" w14:textId="77777777" w:rsidR="00367FAC" w:rsidRDefault="00367FAC" w:rsidP="00EF52F2">
      <w:pPr>
        <w:pStyle w:val="NormalWeb"/>
        <w:jc w:val="center"/>
        <w:rPr>
          <w:rFonts w:ascii="Times New Roman" w:hAnsi="Times New Roman" w:cs="Times New Roman"/>
          <w:sz w:val="24"/>
          <w:szCs w:val="24"/>
        </w:rPr>
      </w:pPr>
    </w:p>
    <w:p w14:paraId="7690DF88" w14:textId="278C6F63" w:rsidR="00367FAC" w:rsidRDefault="00367FAC" w:rsidP="00EF52F2">
      <w:pPr>
        <w:pStyle w:val="NormalWeb"/>
        <w:jc w:val="center"/>
        <w:rPr>
          <w:rFonts w:ascii="Times New Roman" w:hAnsi="Times New Roman" w:cs="Times New Roman"/>
          <w:sz w:val="24"/>
          <w:szCs w:val="24"/>
        </w:rPr>
      </w:pPr>
    </w:p>
    <w:p w14:paraId="2EDC5B8B" w14:textId="77777777" w:rsidR="00367FAC" w:rsidRDefault="00367FAC" w:rsidP="00EF52F2">
      <w:pPr>
        <w:pStyle w:val="NormalWeb"/>
        <w:jc w:val="center"/>
        <w:rPr>
          <w:rFonts w:ascii="Times New Roman" w:hAnsi="Times New Roman" w:cs="Times New Roman"/>
          <w:sz w:val="24"/>
          <w:szCs w:val="24"/>
        </w:rPr>
      </w:pPr>
    </w:p>
    <w:p w14:paraId="56B0B624" w14:textId="77777777" w:rsidR="00367FAC" w:rsidRDefault="00367FAC" w:rsidP="00EF52F2">
      <w:pPr>
        <w:pStyle w:val="NormalWeb"/>
        <w:jc w:val="center"/>
        <w:rPr>
          <w:rFonts w:ascii="Times New Roman" w:hAnsi="Times New Roman" w:cs="Times New Roman"/>
          <w:sz w:val="24"/>
          <w:szCs w:val="24"/>
        </w:rPr>
      </w:pPr>
    </w:p>
    <w:p w14:paraId="54486A54" w14:textId="18ACB481" w:rsidR="00367FAC" w:rsidRPr="00704850" w:rsidRDefault="00704850" w:rsidP="00EF52F2">
      <w:pPr>
        <w:pStyle w:val="NormalWeb"/>
        <w:jc w:val="center"/>
        <w:rPr>
          <w:rFonts w:ascii="Times New Roman" w:hAnsi="Times New Roman" w:cs="Times New Roman"/>
          <w:color w:val="FF0000"/>
          <w:sz w:val="24"/>
          <w:szCs w:val="24"/>
        </w:rPr>
      </w:pPr>
      <w:r w:rsidRPr="00704850">
        <w:rPr>
          <w:rFonts w:ascii="Times New Roman" w:hAnsi="Times New Roman" w:cs="Times New Roman"/>
          <w:noProof/>
          <w:color w:val="FF0000"/>
          <w:sz w:val="24"/>
          <w:szCs w:val="24"/>
        </w:rPr>
        <w:t xml:space="preserve">Insérer </w:t>
      </w:r>
      <w:r w:rsidR="008C55BA">
        <w:rPr>
          <w:rFonts w:ascii="Times New Roman" w:hAnsi="Times New Roman" w:cs="Times New Roman"/>
          <w:noProof/>
          <w:color w:val="FF0000"/>
          <w:sz w:val="24"/>
          <w:szCs w:val="24"/>
        </w:rPr>
        <w:t xml:space="preserve">ici </w:t>
      </w:r>
      <w:r w:rsidRPr="00704850">
        <w:rPr>
          <w:rFonts w:ascii="Times New Roman" w:hAnsi="Times New Roman" w:cs="Times New Roman"/>
          <w:noProof/>
          <w:color w:val="FF0000"/>
          <w:sz w:val="24"/>
          <w:szCs w:val="24"/>
        </w:rPr>
        <w:t xml:space="preserve">les OSP </w:t>
      </w:r>
      <w:r>
        <w:rPr>
          <w:rFonts w:ascii="Times New Roman" w:hAnsi="Times New Roman" w:cs="Times New Roman"/>
          <w:noProof/>
          <w:color w:val="FF0000"/>
          <w:sz w:val="24"/>
          <w:szCs w:val="24"/>
        </w:rPr>
        <w:t xml:space="preserve">(Pdf) </w:t>
      </w:r>
      <w:r w:rsidRPr="00704850">
        <w:rPr>
          <w:rFonts w:ascii="Times New Roman" w:hAnsi="Times New Roman" w:cs="Times New Roman"/>
          <w:noProof/>
          <w:color w:val="FF0000"/>
          <w:sz w:val="24"/>
          <w:szCs w:val="24"/>
        </w:rPr>
        <w:t xml:space="preserve">publiées au JORF </w:t>
      </w:r>
    </w:p>
    <w:p w14:paraId="7923FDE4" w14:textId="77777777" w:rsidR="00367FAC" w:rsidRDefault="00367FAC" w:rsidP="00EF52F2">
      <w:pPr>
        <w:pStyle w:val="NormalWeb"/>
        <w:jc w:val="center"/>
        <w:rPr>
          <w:rFonts w:ascii="Times New Roman" w:hAnsi="Times New Roman" w:cs="Times New Roman"/>
          <w:sz w:val="24"/>
          <w:szCs w:val="24"/>
        </w:rPr>
      </w:pPr>
    </w:p>
    <w:p w14:paraId="74D00AD0" w14:textId="77777777" w:rsidR="00367FAC" w:rsidRDefault="00367FAC" w:rsidP="00EF52F2">
      <w:pPr>
        <w:pStyle w:val="NormalWeb"/>
        <w:jc w:val="center"/>
        <w:rPr>
          <w:rFonts w:ascii="Times New Roman" w:hAnsi="Times New Roman" w:cs="Times New Roman"/>
          <w:sz w:val="24"/>
          <w:szCs w:val="24"/>
        </w:rPr>
      </w:pPr>
    </w:p>
    <w:p w14:paraId="4A214EAE" w14:textId="77777777" w:rsidR="00D77CDA" w:rsidRDefault="00D77CDA" w:rsidP="00EF52F2">
      <w:pPr>
        <w:pStyle w:val="NormalWeb"/>
        <w:jc w:val="center"/>
        <w:rPr>
          <w:rFonts w:ascii="Times New Roman" w:hAnsi="Times New Roman" w:cs="Times New Roman"/>
          <w:sz w:val="24"/>
          <w:szCs w:val="24"/>
        </w:rPr>
      </w:pPr>
    </w:p>
    <w:p w14:paraId="3A45B09B" w14:textId="77777777" w:rsidR="00D77CDA" w:rsidRDefault="00D77CDA">
      <w:pPr>
        <w:pStyle w:val="NormalWeb"/>
        <w:jc w:val="center"/>
      </w:pPr>
    </w:p>
    <w:p w14:paraId="1E94F52A" w14:textId="77777777" w:rsidR="00D77CDA" w:rsidRDefault="00D77CDA">
      <w:pPr>
        <w:pStyle w:val="NormalWeb"/>
        <w:jc w:val="center"/>
      </w:pPr>
    </w:p>
    <w:p w14:paraId="538E1157" w14:textId="77777777" w:rsidR="00D77CDA" w:rsidRDefault="00D77CDA">
      <w:pPr>
        <w:pStyle w:val="NormalWeb"/>
        <w:jc w:val="center"/>
      </w:pPr>
    </w:p>
    <w:p w14:paraId="0C3C2295" w14:textId="77777777" w:rsidR="00D77CDA" w:rsidRDefault="00D77CDA">
      <w:pPr>
        <w:pStyle w:val="NormalWeb"/>
        <w:jc w:val="center"/>
      </w:pPr>
    </w:p>
    <w:p w14:paraId="7A0757C9" w14:textId="77777777" w:rsidR="00D77CDA" w:rsidRDefault="00D77CDA">
      <w:pPr>
        <w:pStyle w:val="NormalWeb"/>
        <w:jc w:val="center"/>
      </w:pPr>
    </w:p>
    <w:p w14:paraId="06BFB9ED" w14:textId="77777777" w:rsidR="00D77CDA" w:rsidRDefault="00D77CDA">
      <w:pPr>
        <w:pStyle w:val="NormalWeb"/>
        <w:jc w:val="center"/>
      </w:pPr>
    </w:p>
    <w:p w14:paraId="044C6EFA" w14:textId="77777777" w:rsidR="00D77CDA" w:rsidRDefault="00D77CDA">
      <w:pPr>
        <w:pStyle w:val="NormalWeb"/>
        <w:jc w:val="center"/>
      </w:pPr>
    </w:p>
    <w:p w14:paraId="034A10F1" w14:textId="77777777" w:rsidR="00D77CDA" w:rsidRDefault="00D77CDA">
      <w:pPr>
        <w:pStyle w:val="NormalWeb"/>
        <w:jc w:val="center"/>
      </w:pPr>
    </w:p>
    <w:p w14:paraId="4B788FCB" w14:textId="77777777" w:rsidR="00D77CDA" w:rsidRDefault="00D77CDA">
      <w:pPr>
        <w:pStyle w:val="NormalWeb"/>
        <w:jc w:val="center"/>
      </w:pPr>
    </w:p>
    <w:p w14:paraId="6B3138F6" w14:textId="77777777" w:rsidR="00D77CDA" w:rsidRDefault="00D77CDA">
      <w:pPr>
        <w:pStyle w:val="NormalWeb"/>
        <w:jc w:val="center"/>
      </w:pPr>
    </w:p>
    <w:p w14:paraId="5A631A85" w14:textId="77777777" w:rsidR="00D77CDA" w:rsidRDefault="00D77CDA">
      <w:pPr>
        <w:pStyle w:val="NormalWeb"/>
        <w:jc w:val="center"/>
      </w:pPr>
    </w:p>
    <w:p w14:paraId="26FD428D" w14:textId="77777777" w:rsidR="00D77CDA" w:rsidRDefault="00D77CDA">
      <w:pPr>
        <w:pStyle w:val="NormalWeb"/>
        <w:jc w:val="center"/>
      </w:pPr>
    </w:p>
    <w:p w14:paraId="5CEED3B8" w14:textId="77777777" w:rsidR="00D77CDA" w:rsidRDefault="00D77CDA">
      <w:pPr>
        <w:pStyle w:val="NormalWeb"/>
        <w:jc w:val="center"/>
      </w:pPr>
    </w:p>
    <w:p w14:paraId="513D1209" w14:textId="77777777" w:rsidR="00D77CDA" w:rsidRDefault="00D77CDA">
      <w:pPr>
        <w:pStyle w:val="NormalWeb"/>
        <w:jc w:val="center"/>
      </w:pPr>
    </w:p>
    <w:p w14:paraId="2EE9B518" w14:textId="77777777" w:rsidR="00D77CDA" w:rsidRDefault="00D77CDA">
      <w:pPr>
        <w:pStyle w:val="NormalWeb"/>
        <w:jc w:val="center"/>
      </w:pPr>
    </w:p>
    <w:p w14:paraId="56D51AAE" w14:textId="77777777" w:rsidR="00D77CDA" w:rsidRDefault="00D77CDA">
      <w:pPr>
        <w:pStyle w:val="NormalWeb"/>
        <w:jc w:val="center"/>
      </w:pPr>
    </w:p>
    <w:p w14:paraId="486D718F" w14:textId="77777777" w:rsidR="00D77CDA" w:rsidRDefault="00D77CDA">
      <w:pPr>
        <w:pStyle w:val="NormalWeb"/>
        <w:jc w:val="center"/>
      </w:pPr>
    </w:p>
    <w:p w14:paraId="29AA4774" w14:textId="77777777" w:rsidR="00D77CDA" w:rsidRDefault="00D77CDA">
      <w:pPr>
        <w:pStyle w:val="NormalWeb"/>
        <w:jc w:val="center"/>
      </w:pPr>
    </w:p>
    <w:p w14:paraId="0483F214" w14:textId="77777777" w:rsidR="00D77CDA" w:rsidRDefault="00D77CDA">
      <w:pPr>
        <w:pStyle w:val="NormalWeb"/>
        <w:jc w:val="center"/>
      </w:pPr>
    </w:p>
    <w:p w14:paraId="54EAA0F0" w14:textId="77777777" w:rsidR="00D77CDA" w:rsidRDefault="00D77CDA">
      <w:pPr>
        <w:pStyle w:val="NormalWeb"/>
        <w:jc w:val="center"/>
      </w:pPr>
    </w:p>
    <w:p w14:paraId="482CEF74" w14:textId="77777777" w:rsidR="00D77CDA" w:rsidRDefault="00D77CDA">
      <w:pPr>
        <w:pStyle w:val="NormalWeb"/>
        <w:jc w:val="center"/>
      </w:pPr>
    </w:p>
    <w:p w14:paraId="7B4CA042" w14:textId="77777777" w:rsidR="00F41369" w:rsidRDefault="00F41369">
      <w:pPr>
        <w:rPr>
          <w:rFonts w:eastAsia="Times New Roman"/>
          <w:b/>
          <w:bCs/>
          <w:color w:val="000000"/>
          <w:sz w:val="28"/>
          <w:szCs w:val="28"/>
          <w:lang w:eastAsia="fr-FR"/>
        </w:rPr>
      </w:pPr>
      <w:r>
        <w:rPr>
          <w:b/>
          <w:bCs/>
          <w:sz w:val="28"/>
          <w:szCs w:val="28"/>
        </w:rPr>
        <w:br w:type="page"/>
      </w:r>
    </w:p>
    <w:p w14:paraId="7EEB0DED" w14:textId="2BBA7D47" w:rsidR="00EB672F" w:rsidRDefault="00EB672F">
      <w:pPr>
        <w:pStyle w:val="NormalWeb"/>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A N </w:t>
      </w:r>
      <w:proofErr w:type="spellStart"/>
      <w:r>
        <w:rPr>
          <w:rFonts w:ascii="Times New Roman" w:hAnsi="Times New Roman" w:cs="Times New Roman"/>
          <w:b/>
          <w:bCs/>
          <w:sz w:val="28"/>
          <w:szCs w:val="28"/>
        </w:rPr>
        <w:t>N</w:t>
      </w:r>
      <w:proofErr w:type="spellEnd"/>
      <w:r>
        <w:rPr>
          <w:rFonts w:ascii="Times New Roman" w:hAnsi="Times New Roman" w:cs="Times New Roman"/>
          <w:b/>
          <w:bCs/>
          <w:sz w:val="28"/>
          <w:szCs w:val="28"/>
        </w:rPr>
        <w:t xml:space="preserve"> E X </w:t>
      </w:r>
      <w:r w:rsidR="0032494F">
        <w:rPr>
          <w:rFonts w:ascii="Times New Roman" w:hAnsi="Times New Roman" w:cs="Times New Roman"/>
          <w:b/>
          <w:bCs/>
          <w:sz w:val="28"/>
          <w:szCs w:val="28"/>
        </w:rPr>
        <w:t>E 2</w:t>
      </w:r>
    </w:p>
    <w:p w14:paraId="1A8246AB" w14:textId="77777777" w:rsidR="00EB672F" w:rsidRDefault="00EB672F">
      <w:pPr>
        <w:pStyle w:val="NormalWeb"/>
        <w:rPr>
          <w:rFonts w:ascii="Times New Roman" w:hAnsi="Times New Roman" w:cs="Times New Roman"/>
          <w:sz w:val="24"/>
          <w:szCs w:val="24"/>
        </w:rPr>
      </w:pPr>
    </w:p>
    <w:p w14:paraId="12DDD47B" w14:textId="77777777" w:rsidR="00EB672F" w:rsidRDefault="00EB672F">
      <w:pPr>
        <w:pStyle w:val="NormalWeb"/>
        <w:jc w:val="center"/>
        <w:rPr>
          <w:rFonts w:ascii="Times New Roman" w:hAnsi="Times New Roman" w:cs="Times New Roman"/>
          <w:sz w:val="24"/>
          <w:szCs w:val="24"/>
        </w:rPr>
      </w:pPr>
    </w:p>
    <w:p w14:paraId="632D3BA9" w14:textId="77777777" w:rsidR="00EB672F" w:rsidRDefault="00EB672F">
      <w:pPr>
        <w:pStyle w:val="NormalWeb"/>
        <w:jc w:val="center"/>
        <w:rPr>
          <w:rFonts w:ascii="Times New Roman" w:hAnsi="Times New Roman" w:cs="Times New Roman"/>
          <w:b/>
          <w:sz w:val="24"/>
          <w:szCs w:val="24"/>
        </w:rPr>
      </w:pPr>
      <w:r>
        <w:rPr>
          <w:rFonts w:ascii="Times New Roman" w:hAnsi="Times New Roman" w:cs="Times New Roman"/>
          <w:b/>
          <w:sz w:val="24"/>
          <w:szCs w:val="24"/>
        </w:rPr>
        <w:t xml:space="preserve">Offre </w:t>
      </w:r>
      <w:r w:rsidR="00A5074A">
        <w:rPr>
          <w:rFonts w:ascii="Times New Roman" w:hAnsi="Times New Roman" w:cs="Times New Roman"/>
          <w:b/>
          <w:sz w:val="24"/>
          <w:szCs w:val="24"/>
        </w:rPr>
        <w:t xml:space="preserve">de la compagnie </w:t>
      </w:r>
      <w:r w:rsidR="00422B53" w:rsidRPr="000C4F0F">
        <w:rPr>
          <w:rFonts w:ascii="Times New Roman" w:hAnsi="Times New Roman" w:cs="Times New Roman"/>
          <w:b/>
          <w:color w:val="008000"/>
          <w:sz w:val="24"/>
          <w:szCs w:val="24"/>
        </w:rPr>
        <w:t>(à compléter par le candidat)</w:t>
      </w:r>
      <w:r w:rsidR="00422B53">
        <w:rPr>
          <w:rFonts w:ascii="Times New Roman" w:hAnsi="Times New Roman" w:cs="Times New Roman"/>
          <w:b/>
          <w:sz w:val="24"/>
          <w:szCs w:val="24"/>
        </w:rPr>
        <w:t xml:space="preserve"> </w:t>
      </w:r>
      <w:r>
        <w:rPr>
          <w:rFonts w:ascii="Times New Roman" w:hAnsi="Times New Roman" w:cs="Times New Roman"/>
          <w:b/>
          <w:sz w:val="24"/>
          <w:szCs w:val="24"/>
        </w:rPr>
        <w:t xml:space="preserve">incluant </w:t>
      </w:r>
    </w:p>
    <w:p w14:paraId="5956BF73" w14:textId="393E3F8F" w:rsidR="00EB672F" w:rsidRPr="004909D2" w:rsidRDefault="00EB672F">
      <w:pPr>
        <w:pStyle w:val="NormalWeb"/>
        <w:jc w:val="center"/>
        <w:rPr>
          <w:rFonts w:ascii="Times New Roman" w:hAnsi="Times New Roman" w:cs="Times New Roman"/>
          <w:b/>
          <w:color w:val="auto"/>
          <w:sz w:val="24"/>
          <w:szCs w:val="24"/>
        </w:rPr>
      </w:pPr>
      <w:proofErr w:type="gramStart"/>
      <w:r>
        <w:rPr>
          <w:rFonts w:ascii="Times New Roman" w:hAnsi="Times New Roman" w:cs="Times New Roman"/>
          <w:b/>
          <w:sz w:val="24"/>
          <w:szCs w:val="24"/>
        </w:rPr>
        <w:t>le</w:t>
      </w:r>
      <w:proofErr w:type="gramEnd"/>
      <w:r w:rsidR="00F71913">
        <w:rPr>
          <w:rFonts w:ascii="Times New Roman" w:hAnsi="Times New Roman" w:cs="Times New Roman"/>
          <w:b/>
          <w:sz w:val="24"/>
          <w:szCs w:val="24"/>
        </w:rPr>
        <w:t xml:space="preserve"> </w:t>
      </w:r>
      <w:r>
        <w:rPr>
          <w:rFonts w:ascii="Times New Roman" w:hAnsi="Times New Roman" w:cs="Times New Roman"/>
          <w:b/>
          <w:sz w:val="24"/>
          <w:szCs w:val="24"/>
        </w:rPr>
        <w:t>c</w:t>
      </w:r>
      <w:r>
        <w:rPr>
          <w:rFonts w:ascii="Times New Roman" w:hAnsi="Times New Roman" w:cs="Times New Roman"/>
          <w:b/>
          <w:bCs/>
          <w:sz w:val="24"/>
          <w:szCs w:val="24"/>
        </w:rPr>
        <w:t xml:space="preserve">ompte analytique prévisionnel de la liaison </w:t>
      </w:r>
      <w:r w:rsidR="004909D2" w:rsidRPr="004909D2">
        <w:rPr>
          <w:rFonts w:ascii="Times New Roman" w:hAnsi="Times New Roman" w:cs="Times New Roman"/>
          <w:b/>
          <w:bCs/>
          <w:color w:val="auto"/>
          <w:sz w:val="24"/>
          <w:szCs w:val="24"/>
        </w:rPr>
        <w:t xml:space="preserve">Strasbourg- </w:t>
      </w:r>
      <w:r w:rsidR="00963832">
        <w:rPr>
          <w:rFonts w:ascii="Times New Roman" w:hAnsi="Times New Roman" w:cs="Times New Roman"/>
          <w:b/>
          <w:bCs/>
          <w:color w:val="auto"/>
          <w:sz w:val="24"/>
          <w:szCs w:val="24"/>
        </w:rPr>
        <w:t>Munich</w:t>
      </w:r>
    </w:p>
    <w:p w14:paraId="6FFB7EAF" w14:textId="77777777" w:rsidR="00EB672F" w:rsidRDefault="00EB672F">
      <w:pPr>
        <w:pStyle w:val="NormalWeb"/>
        <w:jc w:val="center"/>
        <w:rPr>
          <w:rFonts w:ascii="Times New Roman" w:hAnsi="Times New Roman" w:cs="Times New Roman"/>
          <w:b/>
          <w:bCs/>
          <w:sz w:val="24"/>
          <w:szCs w:val="24"/>
        </w:rPr>
      </w:pPr>
      <w:proofErr w:type="gramStart"/>
      <w:r>
        <w:rPr>
          <w:rFonts w:ascii="Times New Roman" w:hAnsi="Times New Roman" w:cs="Times New Roman"/>
          <w:b/>
          <w:bCs/>
          <w:sz w:val="24"/>
          <w:szCs w:val="24"/>
        </w:rPr>
        <w:t>et</w:t>
      </w:r>
      <w:proofErr w:type="gramEnd"/>
      <w:r>
        <w:rPr>
          <w:rFonts w:ascii="Times New Roman" w:hAnsi="Times New Roman" w:cs="Times New Roman"/>
          <w:b/>
          <w:bCs/>
          <w:sz w:val="24"/>
          <w:szCs w:val="24"/>
        </w:rPr>
        <w:t xml:space="preserve"> la subvention demandée </w:t>
      </w:r>
    </w:p>
    <w:p w14:paraId="1E37EC99" w14:textId="77777777" w:rsidR="00EB672F" w:rsidRDefault="00EB672F">
      <w:pPr>
        <w:pStyle w:val="NormalWeb"/>
        <w:jc w:val="center"/>
        <w:rPr>
          <w:rFonts w:ascii="Times New Roman" w:hAnsi="Times New Roman" w:cs="Times New Roman"/>
          <w:b/>
          <w:bCs/>
          <w:sz w:val="24"/>
          <w:szCs w:val="24"/>
        </w:rPr>
      </w:pPr>
    </w:p>
    <w:p w14:paraId="627C6825" w14:textId="77777777" w:rsidR="00EB672F" w:rsidRDefault="00EB672F" w:rsidP="00694A50">
      <w:pPr>
        <w:pStyle w:val="NormalWeb"/>
        <w:jc w:val="center"/>
      </w:pPr>
      <w:r>
        <w:rPr>
          <w:rFonts w:ascii="Times New Roman" w:hAnsi="Times New Roman" w:cs="Times New Roman"/>
          <w:b/>
          <w:bCs/>
          <w:color w:val="0000FF"/>
          <w:sz w:val="24"/>
          <w:szCs w:val="24"/>
        </w:rPr>
        <w:br w:type="page"/>
      </w:r>
    </w:p>
    <w:p w14:paraId="59B446FB" w14:textId="31505BCF" w:rsidR="00EB672F" w:rsidRDefault="00EB672F">
      <w:pPr>
        <w:pStyle w:val="NormalWeb"/>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A N </w:t>
      </w:r>
      <w:proofErr w:type="spellStart"/>
      <w:r>
        <w:rPr>
          <w:rFonts w:ascii="Times New Roman" w:hAnsi="Times New Roman" w:cs="Times New Roman"/>
          <w:b/>
          <w:bCs/>
          <w:sz w:val="28"/>
          <w:szCs w:val="28"/>
        </w:rPr>
        <w:t>N</w:t>
      </w:r>
      <w:proofErr w:type="spellEnd"/>
      <w:r>
        <w:rPr>
          <w:rFonts w:ascii="Times New Roman" w:hAnsi="Times New Roman" w:cs="Times New Roman"/>
          <w:b/>
          <w:bCs/>
          <w:sz w:val="28"/>
          <w:szCs w:val="28"/>
        </w:rPr>
        <w:t xml:space="preserve"> E X </w:t>
      </w:r>
      <w:r w:rsidR="0032494F">
        <w:rPr>
          <w:rFonts w:ascii="Times New Roman" w:hAnsi="Times New Roman" w:cs="Times New Roman"/>
          <w:b/>
          <w:bCs/>
          <w:sz w:val="28"/>
          <w:szCs w:val="28"/>
        </w:rPr>
        <w:t>E 3</w:t>
      </w:r>
    </w:p>
    <w:p w14:paraId="7413E877" w14:textId="77777777" w:rsidR="00EB672F" w:rsidRDefault="00EB672F">
      <w:pPr>
        <w:pStyle w:val="NormalWeb"/>
        <w:jc w:val="center"/>
        <w:rPr>
          <w:rFonts w:ascii="Times New Roman" w:hAnsi="Times New Roman" w:cs="Times New Roman"/>
          <w:b/>
          <w:bCs/>
          <w:sz w:val="28"/>
          <w:szCs w:val="28"/>
        </w:rPr>
      </w:pPr>
    </w:p>
    <w:p w14:paraId="3ACA22E7" w14:textId="77777777" w:rsidR="00EB672F" w:rsidRDefault="00EB672F">
      <w:pPr>
        <w:pStyle w:val="NormalWeb"/>
        <w:jc w:val="center"/>
        <w:rPr>
          <w:rFonts w:ascii="Times New Roman" w:hAnsi="Times New Roman" w:cs="Times New Roman"/>
          <w:b/>
          <w:bCs/>
          <w:sz w:val="28"/>
          <w:szCs w:val="28"/>
        </w:rPr>
      </w:pPr>
    </w:p>
    <w:p w14:paraId="77A9D38D" w14:textId="5E1C56BC" w:rsidR="00A5074A" w:rsidRDefault="00EB672F">
      <w:pPr>
        <w:pStyle w:val="NormalWeb"/>
        <w:spacing w:before="0" w:beforeAutospacing="0" w:after="0" w:afterAutospacing="0"/>
        <w:jc w:val="center"/>
        <w:rPr>
          <w:rFonts w:ascii="Times New Roman" w:hAnsi="Times New Roman" w:cs="Times New Roman"/>
          <w:b/>
          <w:bCs/>
          <w:sz w:val="24"/>
          <w:szCs w:val="24"/>
        </w:rPr>
      </w:pPr>
      <w:r>
        <w:rPr>
          <w:rFonts w:ascii="Times New Roman" w:hAnsi="Times New Roman" w:cs="Times New Roman"/>
          <w:b/>
          <w:bCs/>
          <w:sz w:val="24"/>
          <w:szCs w:val="24"/>
        </w:rPr>
        <w:t xml:space="preserve">Modèle de compte analytique de la liaison </w:t>
      </w:r>
      <w:r w:rsidR="004909D2">
        <w:rPr>
          <w:rFonts w:ascii="Times New Roman" w:hAnsi="Times New Roman" w:cs="Times New Roman"/>
          <w:b/>
          <w:bCs/>
          <w:sz w:val="24"/>
          <w:szCs w:val="24"/>
        </w:rPr>
        <w:t>Strasbourg-</w:t>
      </w:r>
      <w:r w:rsidR="00963832">
        <w:rPr>
          <w:rFonts w:ascii="Times New Roman" w:hAnsi="Times New Roman" w:cs="Times New Roman"/>
          <w:b/>
          <w:bCs/>
          <w:sz w:val="24"/>
          <w:szCs w:val="24"/>
        </w:rPr>
        <w:t>Munich</w:t>
      </w:r>
    </w:p>
    <w:p w14:paraId="4925CE0B" w14:textId="77777777" w:rsidR="00A5074A" w:rsidRDefault="00EB672F">
      <w:pPr>
        <w:pStyle w:val="NormalWeb"/>
        <w:spacing w:before="0" w:beforeAutospacing="0" w:after="0" w:afterAutospacing="0"/>
        <w:jc w:val="center"/>
        <w:rPr>
          <w:rFonts w:ascii="Times New Roman" w:hAnsi="Times New Roman" w:cs="Times New Roman"/>
          <w:b/>
          <w:bCs/>
          <w:sz w:val="24"/>
          <w:szCs w:val="24"/>
        </w:rPr>
      </w:pPr>
      <w:proofErr w:type="gramStart"/>
      <w:r>
        <w:rPr>
          <w:rFonts w:ascii="Times New Roman" w:hAnsi="Times New Roman" w:cs="Times New Roman"/>
          <w:b/>
          <w:bCs/>
          <w:sz w:val="24"/>
          <w:szCs w:val="24"/>
        </w:rPr>
        <w:t>qui</w:t>
      </w:r>
      <w:proofErr w:type="gramEnd"/>
      <w:r>
        <w:rPr>
          <w:rFonts w:ascii="Times New Roman" w:hAnsi="Times New Roman" w:cs="Times New Roman"/>
          <w:b/>
          <w:bCs/>
          <w:sz w:val="24"/>
          <w:szCs w:val="24"/>
        </w:rPr>
        <w:t xml:space="preserve"> devra être produit par </w:t>
      </w:r>
      <w:r w:rsidR="00A5074A">
        <w:rPr>
          <w:rFonts w:ascii="Times New Roman" w:hAnsi="Times New Roman" w:cs="Times New Roman"/>
          <w:b/>
          <w:bCs/>
          <w:sz w:val="24"/>
          <w:szCs w:val="24"/>
        </w:rPr>
        <w:t xml:space="preserve">la compagnie </w:t>
      </w:r>
      <w:r w:rsidR="00422B53" w:rsidRPr="000C4F0F">
        <w:rPr>
          <w:rFonts w:ascii="Times New Roman" w:hAnsi="Times New Roman" w:cs="Times New Roman"/>
          <w:b/>
          <w:color w:val="008000"/>
          <w:sz w:val="24"/>
          <w:szCs w:val="24"/>
        </w:rPr>
        <w:t>(à compléter par le candidat)</w:t>
      </w:r>
      <w:r w:rsidR="00694A50">
        <w:rPr>
          <w:rFonts w:ascii="Times New Roman" w:hAnsi="Times New Roman" w:cs="Times New Roman"/>
          <w:b/>
          <w:bCs/>
          <w:sz w:val="24"/>
          <w:szCs w:val="24"/>
        </w:rPr>
        <w:t xml:space="preserve"> </w:t>
      </w:r>
    </w:p>
    <w:p w14:paraId="4A5E65B8" w14:textId="77777777" w:rsidR="00EB672F" w:rsidRDefault="00EB672F">
      <w:pPr>
        <w:pStyle w:val="NormalWeb"/>
        <w:spacing w:before="0" w:beforeAutospacing="0" w:after="0" w:afterAutospacing="0"/>
        <w:jc w:val="center"/>
        <w:rPr>
          <w:rFonts w:ascii="Times New Roman" w:hAnsi="Times New Roman" w:cs="Times New Roman"/>
          <w:b/>
          <w:bCs/>
          <w:sz w:val="24"/>
          <w:szCs w:val="24"/>
        </w:rPr>
      </w:pPr>
      <w:proofErr w:type="gramStart"/>
      <w:r>
        <w:rPr>
          <w:rFonts w:ascii="Times New Roman" w:hAnsi="Times New Roman" w:cs="Times New Roman"/>
          <w:b/>
          <w:bCs/>
          <w:sz w:val="24"/>
          <w:szCs w:val="24"/>
        </w:rPr>
        <w:t>pour</w:t>
      </w:r>
      <w:proofErr w:type="gramEnd"/>
      <w:r>
        <w:rPr>
          <w:rFonts w:ascii="Times New Roman" w:hAnsi="Times New Roman" w:cs="Times New Roman"/>
          <w:b/>
          <w:bCs/>
          <w:sz w:val="24"/>
          <w:szCs w:val="24"/>
        </w:rPr>
        <w:t xml:space="preserve"> paiement du solde de la subvention </w:t>
      </w:r>
    </w:p>
    <w:p w14:paraId="22712900" w14:textId="77777777" w:rsidR="00EB672F" w:rsidRDefault="00EB672F">
      <w:pPr>
        <w:pStyle w:val="NormalWeb"/>
        <w:spacing w:before="0" w:beforeAutospacing="0" w:after="0" w:afterAutospacing="0"/>
        <w:jc w:val="center"/>
        <w:rPr>
          <w:rFonts w:ascii="Times New Roman" w:hAnsi="Times New Roman" w:cs="Times New Roman"/>
          <w:b/>
          <w:bCs/>
          <w:sz w:val="24"/>
          <w:szCs w:val="24"/>
        </w:rPr>
      </w:pPr>
      <w:proofErr w:type="gramStart"/>
      <w:r>
        <w:rPr>
          <w:rFonts w:ascii="Times New Roman" w:hAnsi="Times New Roman" w:cs="Times New Roman"/>
          <w:b/>
          <w:bCs/>
          <w:sz w:val="24"/>
          <w:szCs w:val="24"/>
        </w:rPr>
        <w:t>pour</w:t>
      </w:r>
      <w:proofErr w:type="gramEnd"/>
      <w:r>
        <w:rPr>
          <w:rFonts w:ascii="Times New Roman" w:hAnsi="Times New Roman" w:cs="Times New Roman"/>
          <w:b/>
          <w:bCs/>
          <w:sz w:val="24"/>
          <w:szCs w:val="24"/>
        </w:rPr>
        <w:t xml:space="preserve"> une année d’exploitation</w:t>
      </w:r>
    </w:p>
    <w:p w14:paraId="6A3EA0B7" w14:textId="77777777" w:rsidR="00F85507" w:rsidRDefault="00F85507" w:rsidP="00F85507">
      <w:r>
        <w:br w:type="textWrapping" w:clear="all"/>
      </w:r>
      <w:r>
        <w:br/>
      </w:r>
    </w:p>
    <w:p w14:paraId="7FA883C3" w14:textId="77777777" w:rsidR="00F85507" w:rsidRDefault="00F85507" w:rsidP="00F85507"/>
    <w:p w14:paraId="7ED3D6A2" w14:textId="77777777" w:rsidR="00F85507" w:rsidRDefault="00F85507" w:rsidP="00F85507"/>
    <w:p w14:paraId="1FDDFC5D" w14:textId="77777777" w:rsidR="00F85507" w:rsidRDefault="00F85507" w:rsidP="00F85507"/>
    <w:p w14:paraId="22274AD6" w14:textId="77777777" w:rsidR="00F85507" w:rsidRDefault="00F85507" w:rsidP="00F85507"/>
    <w:p w14:paraId="586EBF6B" w14:textId="77777777" w:rsidR="00F85507" w:rsidRDefault="00F85507" w:rsidP="00F85507">
      <w:pPr>
        <w:rPr>
          <w:color w:val="000000"/>
          <w:sz w:val="22"/>
          <w:szCs w:val="22"/>
        </w:rPr>
      </w:pPr>
    </w:p>
    <w:p w14:paraId="2BB2573F" w14:textId="77777777" w:rsidR="00F85507" w:rsidRDefault="00F85507" w:rsidP="00F85507">
      <w:pPr>
        <w:rPr>
          <w:color w:val="000000"/>
          <w:sz w:val="22"/>
          <w:szCs w:val="22"/>
        </w:rPr>
      </w:pPr>
    </w:p>
    <w:p w14:paraId="73C9CA86" w14:textId="77777777" w:rsidR="00F85507" w:rsidRDefault="00F85507" w:rsidP="00F85507">
      <w:pPr>
        <w:rPr>
          <w:color w:val="000000"/>
          <w:sz w:val="22"/>
          <w:szCs w:val="22"/>
        </w:rPr>
      </w:pPr>
    </w:p>
    <w:p w14:paraId="1F6B7131" w14:textId="77777777" w:rsidR="00F85507" w:rsidRDefault="00F85507" w:rsidP="00F85507">
      <w:pPr>
        <w:rPr>
          <w:color w:val="000000"/>
          <w:sz w:val="22"/>
          <w:szCs w:val="22"/>
        </w:rPr>
      </w:pPr>
    </w:p>
    <w:p w14:paraId="77E217AD" w14:textId="77777777" w:rsidR="00F85507" w:rsidRDefault="00F85507" w:rsidP="00F85507">
      <w:pPr>
        <w:rPr>
          <w:color w:val="000000"/>
          <w:sz w:val="22"/>
          <w:szCs w:val="22"/>
        </w:rPr>
      </w:pPr>
    </w:p>
    <w:p w14:paraId="37B32E80" w14:textId="77777777" w:rsidR="00F85507" w:rsidRDefault="00F85507" w:rsidP="00F85507">
      <w:pPr>
        <w:rPr>
          <w:color w:val="000000"/>
          <w:sz w:val="22"/>
          <w:szCs w:val="22"/>
        </w:rPr>
      </w:pPr>
    </w:p>
    <w:p w14:paraId="700BB8A4" w14:textId="77777777" w:rsidR="00F85507" w:rsidRDefault="00F85507" w:rsidP="00F85507">
      <w:pPr>
        <w:rPr>
          <w:color w:val="000000"/>
          <w:sz w:val="22"/>
          <w:szCs w:val="22"/>
        </w:rPr>
      </w:pPr>
    </w:p>
    <w:p w14:paraId="0CB76B1C" w14:textId="77777777" w:rsidR="00F85507" w:rsidRDefault="00F85507" w:rsidP="00F85507">
      <w:pPr>
        <w:rPr>
          <w:color w:val="000000"/>
          <w:sz w:val="22"/>
          <w:szCs w:val="22"/>
        </w:rPr>
      </w:pPr>
    </w:p>
    <w:p w14:paraId="7394CAA4" w14:textId="77777777" w:rsidR="00F85507" w:rsidRDefault="00F85507" w:rsidP="00F85507">
      <w:pPr>
        <w:rPr>
          <w:color w:val="000000"/>
          <w:sz w:val="22"/>
          <w:szCs w:val="22"/>
        </w:rPr>
      </w:pPr>
    </w:p>
    <w:p w14:paraId="2E2EDBA2" w14:textId="77777777" w:rsidR="00F85507" w:rsidRDefault="00F85507" w:rsidP="00F85507">
      <w:pPr>
        <w:rPr>
          <w:color w:val="000000"/>
          <w:sz w:val="22"/>
          <w:szCs w:val="22"/>
        </w:rPr>
      </w:pPr>
    </w:p>
    <w:p w14:paraId="56AC989D" w14:textId="77777777" w:rsidR="00F85507" w:rsidRDefault="00F85507" w:rsidP="00F85507">
      <w:pPr>
        <w:rPr>
          <w:color w:val="000000"/>
          <w:sz w:val="22"/>
          <w:szCs w:val="22"/>
        </w:rPr>
      </w:pPr>
    </w:p>
    <w:p w14:paraId="366792CE" w14:textId="77777777" w:rsidR="00F85507" w:rsidRDefault="00F85507" w:rsidP="00F85507">
      <w:pPr>
        <w:rPr>
          <w:color w:val="000000"/>
          <w:sz w:val="22"/>
          <w:szCs w:val="22"/>
        </w:rPr>
      </w:pPr>
    </w:p>
    <w:p w14:paraId="3E77C586" w14:textId="77777777" w:rsidR="00F85507" w:rsidRDefault="00F85507" w:rsidP="00F85507">
      <w:pPr>
        <w:rPr>
          <w:b/>
          <w:bCs/>
          <w:color w:val="000000"/>
          <w:sz w:val="32"/>
          <w:szCs w:val="32"/>
          <w:u w:val="single"/>
        </w:rPr>
      </w:pPr>
    </w:p>
    <w:p w14:paraId="13E1739C" w14:textId="77777777" w:rsidR="00F85507" w:rsidRPr="003E0388" w:rsidRDefault="00F85507" w:rsidP="00F85507">
      <w:pPr>
        <w:rPr>
          <w:sz w:val="8"/>
          <w:szCs w:val="8"/>
        </w:rPr>
      </w:pPr>
      <w:r>
        <w:br w:type="page"/>
      </w:r>
    </w:p>
    <w:tbl>
      <w:tblPr>
        <w:tblW w:w="4473"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1"/>
        <w:gridCol w:w="302"/>
        <w:gridCol w:w="4594"/>
        <w:gridCol w:w="971"/>
        <w:gridCol w:w="971"/>
        <w:gridCol w:w="972"/>
      </w:tblGrid>
      <w:tr w:rsidR="00003C7A" w14:paraId="00FE7538" w14:textId="77777777" w:rsidTr="00003C7A">
        <w:trPr>
          <w:trHeight w:val="1006"/>
          <w:jc w:val="center"/>
        </w:trPr>
        <w:tc>
          <w:tcPr>
            <w:tcW w:w="262" w:type="pct"/>
            <w:tcBorders>
              <w:top w:val="nil"/>
              <w:left w:val="nil"/>
              <w:bottom w:val="single" w:sz="18" w:space="0" w:color="auto"/>
              <w:right w:val="nil"/>
            </w:tcBorders>
          </w:tcPr>
          <w:p w14:paraId="4B1CD78D" w14:textId="77777777" w:rsidR="00003C7A" w:rsidRDefault="00003C7A" w:rsidP="00252594">
            <w:pPr>
              <w:pStyle w:val="NormalWeb"/>
              <w:spacing w:before="0" w:after="0"/>
              <w:jc w:val="center"/>
            </w:pPr>
            <w:r>
              <w:rPr>
                <w:rFonts w:ascii="Liberation Sans" w:hAnsi="Liberation Sans" w:cs="Times New Roman"/>
              </w:rPr>
              <w:lastRenderedPageBreak/>
              <w:br w:type="page"/>
            </w:r>
          </w:p>
        </w:tc>
        <w:tc>
          <w:tcPr>
            <w:tcW w:w="183" w:type="pct"/>
            <w:tcBorders>
              <w:top w:val="nil"/>
              <w:left w:val="nil"/>
              <w:bottom w:val="single" w:sz="18" w:space="0" w:color="auto"/>
              <w:right w:val="nil"/>
            </w:tcBorders>
          </w:tcPr>
          <w:p w14:paraId="2C8618B0" w14:textId="77777777" w:rsidR="00003C7A" w:rsidRDefault="00003C7A" w:rsidP="00252594">
            <w:pPr>
              <w:pStyle w:val="NormalWeb"/>
              <w:spacing w:before="0" w:after="0"/>
              <w:jc w:val="center"/>
            </w:pPr>
          </w:p>
        </w:tc>
        <w:tc>
          <w:tcPr>
            <w:tcW w:w="2787" w:type="pct"/>
            <w:tcBorders>
              <w:top w:val="nil"/>
              <w:left w:val="nil"/>
              <w:bottom w:val="single" w:sz="18" w:space="0" w:color="auto"/>
              <w:right w:val="single" w:sz="18" w:space="0" w:color="auto"/>
            </w:tcBorders>
            <w:vAlign w:val="center"/>
          </w:tcPr>
          <w:p w14:paraId="2F6DD0F6" w14:textId="77777777" w:rsidR="00003C7A" w:rsidRDefault="00003C7A" w:rsidP="00252594">
            <w:pPr>
              <w:pStyle w:val="NormalWeb"/>
              <w:spacing w:before="0" w:after="0"/>
              <w:jc w:val="center"/>
              <w:rPr>
                <w:sz w:val="24"/>
              </w:rPr>
            </w:pPr>
            <w:proofErr w:type="gramStart"/>
            <w:r w:rsidRPr="009D668A">
              <w:rPr>
                <w:b/>
                <w:bCs/>
                <w:color w:val="FF0000"/>
                <w:sz w:val="22"/>
                <w:szCs w:val="22"/>
              </w:rPr>
              <w:t>ville</w:t>
            </w:r>
            <w:proofErr w:type="gramEnd"/>
            <w:r w:rsidRPr="009D668A">
              <w:rPr>
                <w:b/>
                <w:bCs/>
                <w:color w:val="FF0000"/>
                <w:sz w:val="22"/>
                <w:szCs w:val="22"/>
              </w:rPr>
              <w:t> (a/d) – ville (a/d)</w:t>
            </w:r>
          </w:p>
        </w:tc>
        <w:tc>
          <w:tcPr>
            <w:tcW w:w="589" w:type="pct"/>
            <w:tcBorders>
              <w:top w:val="single" w:sz="18" w:space="0" w:color="auto"/>
              <w:left w:val="single" w:sz="6" w:space="0" w:color="auto"/>
              <w:bottom w:val="single" w:sz="18" w:space="0" w:color="auto"/>
              <w:right w:val="single" w:sz="6" w:space="0" w:color="auto"/>
            </w:tcBorders>
            <w:vAlign w:val="center"/>
          </w:tcPr>
          <w:p w14:paraId="58A72102" w14:textId="57AF6D73" w:rsidR="00003C7A" w:rsidRDefault="00003C7A" w:rsidP="00252594">
            <w:pPr>
              <w:pStyle w:val="NormalWeb"/>
              <w:spacing w:before="0" w:after="0"/>
              <w:jc w:val="center"/>
              <w:rPr>
                <w:sz w:val="16"/>
                <w:szCs w:val="16"/>
              </w:rPr>
            </w:pPr>
            <w:r>
              <w:rPr>
                <w:color w:val="FF0000"/>
                <w:sz w:val="16"/>
                <w:szCs w:val="16"/>
              </w:rPr>
              <w:t>9</w:t>
            </w:r>
            <w:r w:rsidRPr="00CB05D7">
              <w:rPr>
                <w:color w:val="FF0000"/>
                <w:sz w:val="16"/>
                <w:szCs w:val="16"/>
              </w:rPr>
              <w:t xml:space="preserve"> </w:t>
            </w:r>
            <w:r>
              <w:rPr>
                <w:color w:val="FF0000"/>
                <w:sz w:val="16"/>
                <w:szCs w:val="16"/>
              </w:rPr>
              <w:t>avril 2026</w:t>
            </w:r>
            <w:r w:rsidRPr="00CB05D7">
              <w:rPr>
                <w:color w:val="FF0000"/>
                <w:sz w:val="16"/>
                <w:szCs w:val="16"/>
              </w:rPr>
              <w:t xml:space="preserve"> – </w:t>
            </w:r>
            <w:r>
              <w:rPr>
                <w:color w:val="FF0000"/>
                <w:sz w:val="16"/>
                <w:szCs w:val="16"/>
              </w:rPr>
              <w:t>8</w:t>
            </w:r>
            <w:r w:rsidRPr="00CB05D7">
              <w:rPr>
                <w:color w:val="FF0000"/>
                <w:sz w:val="16"/>
                <w:szCs w:val="16"/>
              </w:rPr>
              <w:t xml:space="preserve"> </w:t>
            </w:r>
            <w:r>
              <w:rPr>
                <w:color w:val="FF0000"/>
                <w:sz w:val="16"/>
                <w:szCs w:val="16"/>
              </w:rPr>
              <w:t>avril</w:t>
            </w:r>
            <w:r w:rsidRPr="00CB05D7">
              <w:rPr>
                <w:color w:val="FF0000"/>
                <w:sz w:val="16"/>
                <w:szCs w:val="16"/>
              </w:rPr>
              <w:t xml:space="preserve"> </w:t>
            </w:r>
            <w:r>
              <w:rPr>
                <w:color w:val="FF0000"/>
                <w:sz w:val="16"/>
                <w:szCs w:val="16"/>
              </w:rPr>
              <w:t>2027</w:t>
            </w:r>
          </w:p>
        </w:tc>
        <w:tc>
          <w:tcPr>
            <w:tcW w:w="589" w:type="pct"/>
            <w:tcBorders>
              <w:top w:val="single" w:sz="18" w:space="0" w:color="auto"/>
              <w:left w:val="single" w:sz="6" w:space="0" w:color="auto"/>
              <w:bottom w:val="single" w:sz="18" w:space="0" w:color="auto"/>
              <w:right w:val="single" w:sz="18" w:space="0" w:color="auto"/>
            </w:tcBorders>
            <w:vAlign w:val="center"/>
          </w:tcPr>
          <w:p w14:paraId="1EAA33AD" w14:textId="36A86735" w:rsidR="00003C7A" w:rsidRDefault="00003C7A" w:rsidP="00252594">
            <w:pPr>
              <w:pStyle w:val="NormalWeb"/>
              <w:spacing w:before="0" w:after="0"/>
              <w:jc w:val="center"/>
              <w:rPr>
                <w:sz w:val="16"/>
                <w:szCs w:val="16"/>
              </w:rPr>
            </w:pPr>
            <w:r>
              <w:rPr>
                <w:color w:val="FF0000"/>
                <w:sz w:val="16"/>
                <w:szCs w:val="16"/>
              </w:rPr>
              <w:t>9</w:t>
            </w:r>
            <w:r w:rsidRPr="00CB05D7">
              <w:rPr>
                <w:color w:val="FF0000"/>
                <w:sz w:val="16"/>
                <w:szCs w:val="16"/>
              </w:rPr>
              <w:t xml:space="preserve"> </w:t>
            </w:r>
            <w:r>
              <w:rPr>
                <w:color w:val="FF0000"/>
                <w:sz w:val="16"/>
                <w:szCs w:val="16"/>
              </w:rPr>
              <w:t>avril</w:t>
            </w:r>
            <w:r w:rsidRPr="00CB05D7">
              <w:rPr>
                <w:color w:val="FF0000"/>
                <w:sz w:val="16"/>
                <w:szCs w:val="16"/>
              </w:rPr>
              <w:t xml:space="preserve"> </w:t>
            </w:r>
            <w:r>
              <w:rPr>
                <w:color w:val="FF0000"/>
                <w:sz w:val="16"/>
                <w:szCs w:val="16"/>
              </w:rPr>
              <w:t>2027</w:t>
            </w:r>
            <w:r w:rsidRPr="00CB05D7">
              <w:rPr>
                <w:color w:val="FF0000"/>
                <w:sz w:val="16"/>
                <w:szCs w:val="16"/>
              </w:rPr>
              <w:t xml:space="preserve"> – </w:t>
            </w:r>
            <w:r>
              <w:rPr>
                <w:color w:val="FF0000"/>
                <w:sz w:val="16"/>
                <w:szCs w:val="16"/>
              </w:rPr>
              <w:t>8</w:t>
            </w:r>
            <w:r w:rsidRPr="00CB05D7">
              <w:rPr>
                <w:color w:val="FF0000"/>
                <w:sz w:val="16"/>
                <w:szCs w:val="16"/>
              </w:rPr>
              <w:t xml:space="preserve"> </w:t>
            </w:r>
            <w:r>
              <w:rPr>
                <w:color w:val="FF0000"/>
                <w:sz w:val="16"/>
                <w:szCs w:val="16"/>
              </w:rPr>
              <w:t>avril</w:t>
            </w:r>
            <w:r w:rsidRPr="00CB05D7">
              <w:rPr>
                <w:color w:val="FF0000"/>
                <w:sz w:val="16"/>
                <w:szCs w:val="16"/>
              </w:rPr>
              <w:t xml:space="preserve"> </w:t>
            </w:r>
            <w:r>
              <w:rPr>
                <w:color w:val="FF0000"/>
                <w:sz w:val="16"/>
                <w:szCs w:val="16"/>
              </w:rPr>
              <w:t>2028</w:t>
            </w:r>
          </w:p>
        </w:tc>
        <w:tc>
          <w:tcPr>
            <w:tcW w:w="590" w:type="pct"/>
            <w:tcBorders>
              <w:top w:val="nil"/>
              <w:left w:val="single" w:sz="6" w:space="0" w:color="auto"/>
              <w:bottom w:val="nil"/>
              <w:right w:val="nil"/>
            </w:tcBorders>
          </w:tcPr>
          <w:p w14:paraId="028D478C" w14:textId="77777777" w:rsidR="00003C7A" w:rsidRDefault="00003C7A" w:rsidP="00252594">
            <w:pPr>
              <w:pStyle w:val="NormalWeb"/>
              <w:spacing w:before="0" w:after="0"/>
              <w:jc w:val="center"/>
              <w:rPr>
                <w:sz w:val="16"/>
                <w:szCs w:val="16"/>
              </w:rPr>
            </w:pPr>
          </w:p>
        </w:tc>
      </w:tr>
      <w:tr w:rsidR="00003C7A" w14:paraId="5A858A7E" w14:textId="77777777" w:rsidTr="00003C7A">
        <w:trPr>
          <w:trHeight w:hRule="exact" w:val="284"/>
          <w:jc w:val="center"/>
        </w:trPr>
        <w:tc>
          <w:tcPr>
            <w:tcW w:w="262" w:type="pct"/>
            <w:tcBorders>
              <w:top w:val="single" w:sz="18" w:space="0" w:color="auto"/>
              <w:left w:val="single" w:sz="18" w:space="0" w:color="auto"/>
              <w:bottom w:val="single" w:sz="2" w:space="0" w:color="auto"/>
              <w:right w:val="nil"/>
            </w:tcBorders>
          </w:tcPr>
          <w:p w14:paraId="3CE39108" w14:textId="77777777" w:rsidR="00003C7A" w:rsidRDefault="00003C7A" w:rsidP="00252594">
            <w:pPr>
              <w:pStyle w:val="NormalWeb"/>
              <w:spacing w:before="0" w:after="0"/>
              <w:rPr>
                <w:sz w:val="16"/>
                <w:szCs w:val="16"/>
              </w:rPr>
            </w:pPr>
          </w:p>
        </w:tc>
        <w:tc>
          <w:tcPr>
            <w:tcW w:w="183" w:type="pct"/>
            <w:tcBorders>
              <w:top w:val="single" w:sz="18" w:space="0" w:color="auto"/>
              <w:left w:val="nil"/>
              <w:bottom w:val="single" w:sz="2" w:space="0" w:color="auto"/>
              <w:right w:val="nil"/>
            </w:tcBorders>
          </w:tcPr>
          <w:p w14:paraId="013FA669" w14:textId="77777777" w:rsidR="00003C7A" w:rsidRDefault="00003C7A" w:rsidP="00252594">
            <w:pPr>
              <w:pStyle w:val="NormalWeb"/>
              <w:spacing w:before="0" w:after="0"/>
              <w:rPr>
                <w:sz w:val="16"/>
                <w:szCs w:val="16"/>
              </w:rPr>
            </w:pPr>
          </w:p>
        </w:tc>
        <w:tc>
          <w:tcPr>
            <w:tcW w:w="2787" w:type="pct"/>
            <w:tcBorders>
              <w:top w:val="single" w:sz="18" w:space="0" w:color="auto"/>
              <w:left w:val="nil"/>
              <w:bottom w:val="single" w:sz="2" w:space="0" w:color="auto"/>
              <w:right w:val="single" w:sz="18" w:space="0" w:color="auto"/>
            </w:tcBorders>
            <w:vAlign w:val="center"/>
          </w:tcPr>
          <w:p w14:paraId="01DFCDF5" w14:textId="77777777" w:rsidR="00003C7A" w:rsidRDefault="00003C7A" w:rsidP="00252594">
            <w:pPr>
              <w:pStyle w:val="NormalWeb"/>
              <w:spacing w:before="0" w:after="0"/>
              <w:rPr>
                <w:sz w:val="16"/>
                <w:szCs w:val="16"/>
              </w:rPr>
            </w:pPr>
            <w:r>
              <w:rPr>
                <w:sz w:val="16"/>
                <w:szCs w:val="16"/>
              </w:rPr>
              <w:t>Type d’appareil</w:t>
            </w:r>
          </w:p>
        </w:tc>
        <w:tc>
          <w:tcPr>
            <w:tcW w:w="589" w:type="pct"/>
            <w:tcBorders>
              <w:top w:val="single" w:sz="18" w:space="0" w:color="auto"/>
              <w:left w:val="single" w:sz="6" w:space="0" w:color="auto"/>
              <w:bottom w:val="single" w:sz="6" w:space="0" w:color="auto"/>
              <w:right w:val="single" w:sz="6" w:space="0" w:color="auto"/>
            </w:tcBorders>
          </w:tcPr>
          <w:p w14:paraId="7A160960" w14:textId="77777777" w:rsidR="00003C7A" w:rsidRDefault="00003C7A" w:rsidP="00252594">
            <w:pPr>
              <w:pStyle w:val="NormalWeb"/>
              <w:spacing w:before="0" w:after="0"/>
            </w:pPr>
          </w:p>
        </w:tc>
        <w:tc>
          <w:tcPr>
            <w:tcW w:w="589" w:type="pct"/>
            <w:tcBorders>
              <w:top w:val="single" w:sz="18" w:space="0" w:color="auto"/>
              <w:left w:val="single" w:sz="6" w:space="0" w:color="auto"/>
              <w:bottom w:val="single" w:sz="6" w:space="0" w:color="auto"/>
              <w:right w:val="single" w:sz="18" w:space="0" w:color="auto"/>
            </w:tcBorders>
          </w:tcPr>
          <w:p w14:paraId="3A729910"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5966DEFE" w14:textId="77777777" w:rsidR="00003C7A" w:rsidRDefault="00003C7A" w:rsidP="00252594">
            <w:pPr>
              <w:pStyle w:val="NormalWeb"/>
              <w:spacing w:before="0" w:after="0"/>
              <w:rPr>
                <w:sz w:val="16"/>
                <w:szCs w:val="16"/>
              </w:rPr>
            </w:pPr>
          </w:p>
        </w:tc>
      </w:tr>
      <w:tr w:rsidR="00003C7A" w14:paraId="07808BE7" w14:textId="77777777" w:rsidTr="00003C7A">
        <w:trPr>
          <w:trHeight w:hRule="exact" w:val="284"/>
          <w:jc w:val="center"/>
        </w:trPr>
        <w:tc>
          <w:tcPr>
            <w:tcW w:w="262" w:type="pct"/>
            <w:tcBorders>
              <w:top w:val="single" w:sz="2" w:space="0" w:color="auto"/>
              <w:left w:val="single" w:sz="18" w:space="0" w:color="auto"/>
              <w:bottom w:val="single" w:sz="2" w:space="0" w:color="auto"/>
              <w:right w:val="nil"/>
            </w:tcBorders>
          </w:tcPr>
          <w:p w14:paraId="501EE3E8" w14:textId="77777777" w:rsidR="00003C7A" w:rsidRDefault="00003C7A" w:rsidP="00252594">
            <w:pPr>
              <w:pStyle w:val="NormalWeb"/>
              <w:spacing w:before="0" w:after="0"/>
              <w:rPr>
                <w:sz w:val="16"/>
                <w:szCs w:val="16"/>
              </w:rPr>
            </w:pPr>
          </w:p>
        </w:tc>
        <w:tc>
          <w:tcPr>
            <w:tcW w:w="183" w:type="pct"/>
            <w:tcBorders>
              <w:top w:val="single" w:sz="2" w:space="0" w:color="auto"/>
              <w:left w:val="nil"/>
              <w:bottom w:val="single" w:sz="2" w:space="0" w:color="auto"/>
              <w:right w:val="nil"/>
            </w:tcBorders>
          </w:tcPr>
          <w:p w14:paraId="4C1A16D8" w14:textId="77777777" w:rsidR="00003C7A" w:rsidRDefault="00003C7A" w:rsidP="00252594">
            <w:pPr>
              <w:pStyle w:val="NormalWeb"/>
              <w:spacing w:before="0" w:after="0"/>
              <w:rPr>
                <w:sz w:val="16"/>
                <w:szCs w:val="16"/>
              </w:rPr>
            </w:pPr>
          </w:p>
        </w:tc>
        <w:tc>
          <w:tcPr>
            <w:tcW w:w="2787" w:type="pct"/>
            <w:tcBorders>
              <w:top w:val="single" w:sz="2" w:space="0" w:color="auto"/>
              <w:left w:val="nil"/>
              <w:bottom w:val="single" w:sz="2" w:space="0" w:color="auto"/>
              <w:right w:val="single" w:sz="18" w:space="0" w:color="auto"/>
            </w:tcBorders>
            <w:vAlign w:val="center"/>
          </w:tcPr>
          <w:p w14:paraId="1FEB34F6" w14:textId="77777777" w:rsidR="00003C7A" w:rsidRDefault="00003C7A" w:rsidP="00252594">
            <w:pPr>
              <w:pStyle w:val="NormalWeb"/>
              <w:spacing w:before="0" w:after="0"/>
              <w:rPr>
                <w:sz w:val="16"/>
                <w:szCs w:val="16"/>
              </w:rPr>
            </w:pPr>
            <w:r>
              <w:rPr>
                <w:sz w:val="16"/>
                <w:szCs w:val="16"/>
              </w:rPr>
              <w:t xml:space="preserve">Capacité de l’appareil </w:t>
            </w:r>
          </w:p>
        </w:tc>
        <w:tc>
          <w:tcPr>
            <w:tcW w:w="589" w:type="pct"/>
            <w:tcBorders>
              <w:top w:val="single" w:sz="6" w:space="0" w:color="auto"/>
              <w:left w:val="single" w:sz="6" w:space="0" w:color="auto"/>
              <w:bottom w:val="single" w:sz="6" w:space="0" w:color="auto"/>
              <w:right w:val="single" w:sz="6" w:space="0" w:color="auto"/>
            </w:tcBorders>
          </w:tcPr>
          <w:p w14:paraId="5B9811DE"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73F25F7E" w14:textId="77777777" w:rsidR="00003C7A" w:rsidRDefault="00003C7A" w:rsidP="00252594">
            <w:pPr>
              <w:pStyle w:val="NormalWeb"/>
              <w:spacing w:before="0" w:after="0"/>
              <w:ind w:left="-177" w:firstLine="177"/>
              <w:rPr>
                <w:sz w:val="16"/>
                <w:szCs w:val="16"/>
              </w:rPr>
            </w:pPr>
          </w:p>
        </w:tc>
        <w:tc>
          <w:tcPr>
            <w:tcW w:w="590" w:type="pct"/>
            <w:tcBorders>
              <w:top w:val="nil"/>
              <w:left w:val="single" w:sz="6" w:space="0" w:color="auto"/>
              <w:bottom w:val="nil"/>
              <w:right w:val="nil"/>
            </w:tcBorders>
          </w:tcPr>
          <w:p w14:paraId="3446498E" w14:textId="77777777" w:rsidR="00003C7A" w:rsidRDefault="00003C7A" w:rsidP="00252594">
            <w:pPr>
              <w:pStyle w:val="NormalWeb"/>
              <w:spacing w:before="0" w:after="0"/>
              <w:ind w:left="-177" w:firstLine="177"/>
              <w:rPr>
                <w:sz w:val="16"/>
                <w:szCs w:val="16"/>
              </w:rPr>
            </w:pPr>
          </w:p>
        </w:tc>
      </w:tr>
      <w:tr w:rsidR="00003C7A" w14:paraId="10D1826B" w14:textId="77777777" w:rsidTr="00003C7A">
        <w:trPr>
          <w:trHeight w:hRule="exact" w:val="284"/>
          <w:jc w:val="center"/>
        </w:trPr>
        <w:tc>
          <w:tcPr>
            <w:tcW w:w="262" w:type="pct"/>
            <w:tcBorders>
              <w:top w:val="single" w:sz="2" w:space="0" w:color="auto"/>
              <w:left w:val="single" w:sz="18" w:space="0" w:color="auto"/>
              <w:bottom w:val="single" w:sz="2" w:space="0" w:color="auto"/>
              <w:right w:val="nil"/>
            </w:tcBorders>
          </w:tcPr>
          <w:p w14:paraId="6983E30C" w14:textId="77777777" w:rsidR="00003C7A" w:rsidRDefault="00003C7A" w:rsidP="00252594">
            <w:pPr>
              <w:pStyle w:val="NormalWeb"/>
              <w:spacing w:before="0" w:after="0"/>
              <w:rPr>
                <w:sz w:val="16"/>
                <w:szCs w:val="16"/>
              </w:rPr>
            </w:pPr>
          </w:p>
        </w:tc>
        <w:tc>
          <w:tcPr>
            <w:tcW w:w="183" w:type="pct"/>
            <w:tcBorders>
              <w:top w:val="single" w:sz="2" w:space="0" w:color="auto"/>
              <w:left w:val="nil"/>
              <w:bottom w:val="single" w:sz="2" w:space="0" w:color="auto"/>
              <w:right w:val="nil"/>
            </w:tcBorders>
          </w:tcPr>
          <w:p w14:paraId="03AA442A" w14:textId="77777777" w:rsidR="00003C7A" w:rsidRDefault="00003C7A" w:rsidP="00252594">
            <w:pPr>
              <w:pStyle w:val="NormalWeb"/>
              <w:spacing w:before="0" w:after="0"/>
              <w:rPr>
                <w:sz w:val="16"/>
                <w:szCs w:val="16"/>
              </w:rPr>
            </w:pPr>
          </w:p>
        </w:tc>
        <w:tc>
          <w:tcPr>
            <w:tcW w:w="2787" w:type="pct"/>
            <w:tcBorders>
              <w:top w:val="single" w:sz="2" w:space="0" w:color="auto"/>
              <w:left w:val="nil"/>
              <w:bottom w:val="single" w:sz="2" w:space="0" w:color="auto"/>
              <w:right w:val="single" w:sz="18" w:space="0" w:color="auto"/>
            </w:tcBorders>
            <w:vAlign w:val="center"/>
          </w:tcPr>
          <w:p w14:paraId="3605BBF3" w14:textId="77777777" w:rsidR="00003C7A" w:rsidRDefault="00003C7A" w:rsidP="00252594">
            <w:pPr>
              <w:pStyle w:val="NormalWeb"/>
              <w:spacing w:before="0" w:after="0"/>
              <w:rPr>
                <w:sz w:val="16"/>
                <w:szCs w:val="16"/>
              </w:rPr>
            </w:pPr>
            <w:r>
              <w:rPr>
                <w:sz w:val="16"/>
                <w:szCs w:val="16"/>
              </w:rPr>
              <w:t>Temps de vol par rotation</w:t>
            </w:r>
          </w:p>
        </w:tc>
        <w:tc>
          <w:tcPr>
            <w:tcW w:w="589" w:type="pct"/>
            <w:tcBorders>
              <w:top w:val="single" w:sz="6" w:space="0" w:color="auto"/>
              <w:left w:val="single" w:sz="6" w:space="0" w:color="auto"/>
              <w:bottom w:val="single" w:sz="6" w:space="0" w:color="auto"/>
              <w:right w:val="single" w:sz="6" w:space="0" w:color="auto"/>
            </w:tcBorders>
          </w:tcPr>
          <w:p w14:paraId="775B8F08"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0E8B2237"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0AAC58A6" w14:textId="77777777" w:rsidR="00003C7A" w:rsidRDefault="00003C7A" w:rsidP="00252594">
            <w:pPr>
              <w:pStyle w:val="NormalWeb"/>
              <w:spacing w:before="0" w:after="0"/>
              <w:rPr>
                <w:sz w:val="16"/>
                <w:szCs w:val="16"/>
              </w:rPr>
            </w:pPr>
          </w:p>
        </w:tc>
      </w:tr>
      <w:tr w:rsidR="00003C7A" w14:paraId="3AF0388D" w14:textId="77777777" w:rsidTr="00003C7A">
        <w:trPr>
          <w:trHeight w:hRule="exact" w:val="284"/>
          <w:jc w:val="center"/>
        </w:trPr>
        <w:tc>
          <w:tcPr>
            <w:tcW w:w="262" w:type="pct"/>
            <w:tcBorders>
              <w:top w:val="single" w:sz="2" w:space="0" w:color="auto"/>
              <w:left w:val="single" w:sz="18" w:space="0" w:color="auto"/>
              <w:bottom w:val="single" w:sz="2" w:space="0" w:color="auto"/>
              <w:right w:val="nil"/>
            </w:tcBorders>
          </w:tcPr>
          <w:p w14:paraId="5084F97E" w14:textId="77777777" w:rsidR="00003C7A" w:rsidRDefault="00003C7A" w:rsidP="00252594">
            <w:pPr>
              <w:pStyle w:val="NormalWeb"/>
              <w:spacing w:before="0" w:after="0"/>
              <w:rPr>
                <w:sz w:val="16"/>
                <w:szCs w:val="16"/>
              </w:rPr>
            </w:pPr>
            <w:r>
              <w:rPr>
                <w:sz w:val="16"/>
                <w:szCs w:val="16"/>
              </w:rPr>
              <w:t>(</w:t>
            </w:r>
            <w:proofErr w:type="gramStart"/>
            <w:r>
              <w:rPr>
                <w:sz w:val="16"/>
                <w:szCs w:val="16"/>
              </w:rPr>
              <w:t>b</w:t>
            </w:r>
            <w:proofErr w:type="gramEnd"/>
            <w:r>
              <w:rPr>
                <w:sz w:val="16"/>
                <w:szCs w:val="16"/>
              </w:rPr>
              <w:t>)</w:t>
            </w:r>
          </w:p>
        </w:tc>
        <w:tc>
          <w:tcPr>
            <w:tcW w:w="183" w:type="pct"/>
            <w:tcBorders>
              <w:top w:val="single" w:sz="2" w:space="0" w:color="auto"/>
              <w:left w:val="nil"/>
              <w:bottom w:val="single" w:sz="2" w:space="0" w:color="auto"/>
              <w:right w:val="nil"/>
            </w:tcBorders>
          </w:tcPr>
          <w:p w14:paraId="18644093" w14:textId="77777777" w:rsidR="00003C7A" w:rsidRDefault="00003C7A" w:rsidP="00252594">
            <w:pPr>
              <w:pStyle w:val="NormalWeb"/>
              <w:spacing w:before="0" w:after="0"/>
              <w:rPr>
                <w:sz w:val="16"/>
                <w:szCs w:val="16"/>
              </w:rPr>
            </w:pPr>
          </w:p>
        </w:tc>
        <w:tc>
          <w:tcPr>
            <w:tcW w:w="2787" w:type="pct"/>
            <w:tcBorders>
              <w:top w:val="single" w:sz="2" w:space="0" w:color="auto"/>
              <w:left w:val="nil"/>
              <w:bottom w:val="single" w:sz="2" w:space="0" w:color="auto"/>
              <w:right w:val="single" w:sz="18" w:space="0" w:color="auto"/>
            </w:tcBorders>
            <w:vAlign w:val="center"/>
          </w:tcPr>
          <w:p w14:paraId="590E0D29" w14:textId="77777777" w:rsidR="00003C7A" w:rsidRDefault="00003C7A" w:rsidP="00252594">
            <w:pPr>
              <w:pStyle w:val="NormalWeb"/>
              <w:spacing w:before="0" w:after="0"/>
              <w:ind w:left="2908" w:hanging="2908"/>
              <w:rPr>
                <w:sz w:val="16"/>
                <w:szCs w:val="16"/>
              </w:rPr>
            </w:pPr>
            <w:r>
              <w:rPr>
                <w:sz w:val="16"/>
                <w:szCs w:val="16"/>
              </w:rPr>
              <w:t>Heures de vol sur la période</w:t>
            </w:r>
          </w:p>
        </w:tc>
        <w:tc>
          <w:tcPr>
            <w:tcW w:w="589" w:type="pct"/>
            <w:tcBorders>
              <w:top w:val="single" w:sz="6" w:space="0" w:color="auto"/>
              <w:left w:val="single" w:sz="6" w:space="0" w:color="auto"/>
              <w:bottom w:val="single" w:sz="6" w:space="0" w:color="auto"/>
              <w:right w:val="single" w:sz="6" w:space="0" w:color="auto"/>
            </w:tcBorders>
          </w:tcPr>
          <w:p w14:paraId="420291DB"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77A25B77"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2A9BED6D" w14:textId="77777777" w:rsidR="00003C7A" w:rsidRDefault="00003C7A" w:rsidP="00252594">
            <w:pPr>
              <w:pStyle w:val="NormalWeb"/>
              <w:spacing w:before="0" w:after="0"/>
              <w:rPr>
                <w:sz w:val="16"/>
                <w:szCs w:val="16"/>
              </w:rPr>
            </w:pPr>
          </w:p>
        </w:tc>
      </w:tr>
      <w:tr w:rsidR="00003C7A" w14:paraId="5194D5ED" w14:textId="77777777" w:rsidTr="00003C7A">
        <w:trPr>
          <w:trHeight w:hRule="exact" w:val="284"/>
          <w:jc w:val="center"/>
        </w:trPr>
        <w:tc>
          <w:tcPr>
            <w:tcW w:w="262" w:type="pct"/>
            <w:tcBorders>
              <w:top w:val="single" w:sz="2" w:space="0" w:color="auto"/>
              <w:left w:val="single" w:sz="18" w:space="0" w:color="auto"/>
              <w:bottom w:val="single" w:sz="2" w:space="0" w:color="auto"/>
              <w:right w:val="nil"/>
            </w:tcBorders>
          </w:tcPr>
          <w:p w14:paraId="2CB65DC7" w14:textId="77777777" w:rsidR="00003C7A" w:rsidRDefault="00003C7A" w:rsidP="00252594">
            <w:pPr>
              <w:pStyle w:val="NormalWeb"/>
              <w:spacing w:before="0" w:after="0"/>
              <w:rPr>
                <w:sz w:val="16"/>
                <w:szCs w:val="16"/>
              </w:rPr>
            </w:pPr>
          </w:p>
        </w:tc>
        <w:tc>
          <w:tcPr>
            <w:tcW w:w="183" w:type="pct"/>
            <w:tcBorders>
              <w:top w:val="single" w:sz="2" w:space="0" w:color="auto"/>
              <w:left w:val="nil"/>
              <w:bottom w:val="single" w:sz="2" w:space="0" w:color="auto"/>
              <w:right w:val="nil"/>
            </w:tcBorders>
          </w:tcPr>
          <w:p w14:paraId="6B386BFD" w14:textId="77777777" w:rsidR="00003C7A" w:rsidRDefault="00003C7A" w:rsidP="00252594">
            <w:pPr>
              <w:pStyle w:val="NormalWeb"/>
              <w:spacing w:before="0" w:after="0"/>
              <w:rPr>
                <w:sz w:val="16"/>
                <w:szCs w:val="16"/>
              </w:rPr>
            </w:pPr>
          </w:p>
        </w:tc>
        <w:tc>
          <w:tcPr>
            <w:tcW w:w="2787" w:type="pct"/>
            <w:tcBorders>
              <w:top w:val="single" w:sz="2" w:space="0" w:color="auto"/>
              <w:left w:val="nil"/>
              <w:bottom w:val="single" w:sz="2" w:space="0" w:color="auto"/>
              <w:right w:val="single" w:sz="18" w:space="0" w:color="auto"/>
            </w:tcBorders>
            <w:vAlign w:val="center"/>
          </w:tcPr>
          <w:p w14:paraId="6E93BACC" w14:textId="77777777" w:rsidR="00003C7A" w:rsidRDefault="00003C7A" w:rsidP="00252594">
            <w:pPr>
              <w:pStyle w:val="NormalWeb"/>
              <w:spacing w:before="0" w:after="0"/>
              <w:rPr>
                <w:sz w:val="16"/>
                <w:szCs w:val="16"/>
              </w:rPr>
            </w:pPr>
            <w:r>
              <w:rPr>
                <w:sz w:val="16"/>
                <w:szCs w:val="16"/>
              </w:rPr>
              <w:t>Heures de vol de mise en place sur la période</w:t>
            </w:r>
          </w:p>
        </w:tc>
        <w:tc>
          <w:tcPr>
            <w:tcW w:w="589" w:type="pct"/>
            <w:tcBorders>
              <w:top w:val="single" w:sz="6" w:space="0" w:color="auto"/>
              <w:left w:val="single" w:sz="6" w:space="0" w:color="auto"/>
              <w:bottom w:val="single" w:sz="6" w:space="0" w:color="auto"/>
              <w:right w:val="single" w:sz="6" w:space="0" w:color="auto"/>
            </w:tcBorders>
          </w:tcPr>
          <w:p w14:paraId="1A71DC9B"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1D28DA50"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434BE4C9" w14:textId="77777777" w:rsidR="00003C7A" w:rsidRDefault="00003C7A" w:rsidP="00252594">
            <w:pPr>
              <w:pStyle w:val="NormalWeb"/>
              <w:spacing w:before="0" w:after="0"/>
              <w:rPr>
                <w:sz w:val="16"/>
                <w:szCs w:val="16"/>
              </w:rPr>
            </w:pPr>
          </w:p>
        </w:tc>
      </w:tr>
      <w:tr w:rsidR="00003C7A" w14:paraId="1E64E685" w14:textId="77777777" w:rsidTr="00003C7A">
        <w:trPr>
          <w:trHeight w:hRule="exact" w:val="284"/>
          <w:jc w:val="center"/>
        </w:trPr>
        <w:tc>
          <w:tcPr>
            <w:tcW w:w="262" w:type="pct"/>
            <w:tcBorders>
              <w:top w:val="single" w:sz="2" w:space="0" w:color="auto"/>
              <w:left w:val="single" w:sz="18" w:space="0" w:color="auto"/>
              <w:bottom w:val="single" w:sz="2" w:space="0" w:color="auto"/>
              <w:right w:val="nil"/>
            </w:tcBorders>
          </w:tcPr>
          <w:p w14:paraId="55DFB5F2" w14:textId="77777777" w:rsidR="00003C7A" w:rsidRDefault="00003C7A" w:rsidP="00252594">
            <w:pPr>
              <w:pStyle w:val="NormalWeb"/>
              <w:spacing w:before="0" w:after="0"/>
              <w:rPr>
                <w:sz w:val="16"/>
                <w:szCs w:val="16"/>
              </w:rPr>
            </w:pPr>
          </w:p>
        </w:tc>
        <w:tc>
          <w:tcPr>
            <w:tcW w:w="183" w:type="pct"/>
            <w:tcBorders>
              <w:top w:val="single" w:sz="2" w:space="0" w:color="auto"/>
              <w:left w:val="nil"/>
              <w:bottom w:val="single" w:sz="2" w:space="0" w:color="auto"/>
              <w:right w:val="nil"/>
            </w:tcBorders>
          </w:tcPr>
          <w:p w14:paraId="0253DE62" w14:textId="77777777" w:rsidR="00003C7A" w:rsidRDefault="00003C7A" w:rsidP="00252594">
            <w:pPr>
              <w:pStyle w:val="NormalWeb"/>
              <w:spacing w:before="0" w:after="0"/>
              <w:rPr>
                <w:sz w:val="16"/>
                <w:szCs w:val="16"/>
              </w:rPr>
            </w:pPr>
          </w:p>
        </w:tc>
        <w:tc>
          <w:tcPr>
            <w:tcW w:w="2787" w:type="pct"/>
            <w:tcBorders>
              <w:top w:val="single" w:sz="2" w:space="0" w:color="auto"/>
              <w:left w:val="nil"/>
              <w:bottom w:val="single" w:sz="2" w:space="0" w:color="auto"/>
              <w:right w:val="single" w:sz="18" w:space="0" w:color="auto"/>
            </w:tcBorders>
            <w:vAlign w:val="center"/>
          </w:tcPr>
          <w:p w14:paraId="6687046E" w14:textId="77777777" w:rsidR="00003C7A" w:rsidRDefault="00003C7A" w:rsidP="00252594">
            <w:pPr>
              <w:pStyle w:val="NormalWeb"/>
              <w:spacing w:before="0" w:after="0"/>
              <w:rPr>
                <w:sz w:val="16"/>
                <w:szCs w:val="16"/>
              </w:rPr>
            </w:pPr>
            <w:r>
              <w:rPr>
                <w:sz w:val="16"/>
                <w:szCs w:val="16"/>
              </w:rPr>
              <w:t>Heures de vol des appareils affrétés sur la période</w:t>
            </w:r>
          </w:p>
        </w:tc>
        <w:tc>
          <w:tcPr>
            <w:tcW w:w="589" w:type="pct"/>
            <w:tcBorders>
              <w:top w:val="single" w:sz="6" w:space="0" w:color="auto"/>
              <w:left w:val="single" w:sz="6" w:space="0" w:color="auto"/>
              <w:bottom w:val="single" w:sz="6" w:space="0" w:color="auto"/>
              <w:right w:val="single" w:sz="6" w:space="0" w:color="auto"/>
            </w:tcBorders>
          </w:tcPr>
          <w:p w14:paraId="7C6CE35B"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785B14B7"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593697A8" w14:textId="77777777" w:rsidR="00003C7A" w:rsidRDefault="00003C7A" w:rsidP="00252594">
            <w:pPr>
              <w:pStyle w:val="NormalWeb"/>
              <w:spacing w:before="0" w:after="0"/>
              <w:rPr>
                <w:sz w:val="16"/>
                <w:szCs w:val="16"/>
              </w:rPr>
            </w:pPr>
          </w:p>
        </w:tc>
      </w:tr>
      <w:tr w:rsidR="00003C7A" w14:paraId="1817A14A" w14:textId="77777777" w:rsidTr="00003C7A">
        <w:trPr>
          <w:trHeight w:hRule="exact" w:val="284"/>
          <w:jc w:val="center"/>
        </w:trPr>
        <w:tc>
          <w:tcPr>
            <w:tcW w:w="262" w:type="pct"/>
            <w:tcBorders>
              <w:top w:val="single" w:sz="2" w:space="0" w:color="auto"/>
              <w:left w:val="single" w:sz="18" w:space="0" w:color="auto"/>
              <w:bottom w:val="single" w:sz="18" w:space="0" w:color="auto"/>
              <w:right w:val="nil"/>
            </w:tcBorders>
          </w:tcPr>
          <w:p w14:paraId="1FEC31AB" w14:textId="77777777" w:rsidR="00003C7A" w:rsidRDefault="00003C7A" w:rsidP="00252594">
            <w:pPr>
              <w:pStyle w:val="NormalWeb"/>
              <w:spacing w:before="0" w:after="0"/>
              <w:rPr>
                <w:sz w:val="16"/>
                <w:szCs w:val="16"/>
              </w:rPr>
            </w:pPr>
            <w:r>
              <w:rPr>
                <w:sz w:val="16"/>
                <w:szCs w:val="16"/>
              </w:rPr>
              <w:t>(</w:t>
            </w:r>
            <w:proofErr w:type="gramStart"/>
            <w:r>
              <w:rPr>
                <w:sz w:val="16"/>
                <w:szCs w:val="16"/>
              </w:rPr>
              <w:t>c</w:t>
            </w:r>
            <w:proofErr w:type="gramEnd"/>
            <w:r>
              <w:rPr>
                <w:sz w:val="16"/>
                <w:szCs w:val="16"/>
              </w:rPr>
              <w:t>)</w:t>
            </w:r>
          </w:p>
        </w:tc>
        <w:tc>
          <w:tcPr>
            <w:tcW w:w="183" w:type="pct"/>
            <w:tcBorders>
              <w:top w:val="single" w:sz="2" w:space="0" w:color="auto"/>
              <w:left w:val="nil"/>
              <w:bottom w:val="single" w:sz="18" w:space="0" w:color="auto"/>
              <w:right w:val="nil"/>
            </w:tcBorders>
          </w:tcPr>
          <w:p w14:paraId="433A2D2F" w14:textId="77777777" w:rsidR="00003C7A" w:rsidRDefault="00003C7A" w:rsidP="00252594">
            <w:pPr>
              <w:pStyle w:val="NormalWeb"/>
              <w:spacing w:before="0" w:after="0"/>
              <w:rPr>
                <w:sz w:val="16"/>
                <w:szCs w:val="16"/>
              </w:rPr>
            </w:pPr>
          </w:p>
        </w:tc>
        <w:tc>
          <w:tcPr>
            <w:tcW w:w="2787" w:type="pct"/>
            <w:tcBorders>
              <w:top w:val="single" w:sz="2" w:space="0" w:color="auto"/>
              <w:left w:val="nil"/>
              <w:bottom w:val="single" w:sz="18" w:space="0" w:color="auto"/>
              <w:right w:val="single" w:sz="18" w:space="0" w:color="auto"/>
            </w:tcBorders>
            <w:vAlign w:val="center"/>
          </w:tcPr>
          <w:p w14:paraId="29E44987" w14:textId="77777777" w:rsidR="00003C7A" w:rsidRDefault="00003C7A" w:rsidP="00252594">
            <w:pPr>
              <w:pStyle w:val="NormalWeb"/>
              <w:spacing w:before="0" w:after="0"/>
              <w:rPr>
                <w:sz w:val="16"/>
                <w:szCs w:val="16"/>
              </w:rPr>
            </w:pPr>
            <w:r>
              <w:rPr>
                <w:sz w:val="16"/>
                <w:szCs w:val="16"/>
              </w:rPr>
              <w:t>Nombre d’appareils affectés à la liaison</w:t>
            </w:r>
          </w:p>
        </w:tc>
        <w:tc>
          <w:tcPr>
            <w:tcW w:w="589" w:type="pct"/>
            <w:tcBorders>
              <w:top w:val="single" w:sz="6" w:space="0" w:color="auto"/>
              <w:left w:val="single" w:sz="6" w:space="0" w:color="auto"/>
              <w:bottom w:val="single" w:sz="18" w:space="0" w:color="auto"/>
              <w:right w:val="single" w:sz="6" w:space="0" w:color="auto"/>
            </w:tcBorders>
          </w:tcPr>
          <w:p w14:paraId="43F708A7"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18" w:space="0" w:color="auto"/>
              <w:right w:val="single" w:sz="18" w:space="0" w:color="auto"/>
            </w:tcBorders>
          </w:tcPr>
          <w:p w14:paraId="7713D099"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4E3666EE" w14:textId="77777777" w:rsidR="00003C7A" w:rsidRDefault="00003C7A" w:rsidP="00252594">
            <w:pPr>
              <w:pStyle w:val="NormalWeb"/>
              <w:spacing w:before="0" w:after="0"/>
              <w:rPr>
                <w:sz w:val="16"/>
                <w:szCs w:val="16"/>
              </w:rPr>
            </w:pPr>
          </w:p>
        </w:tc>
      </w:tr>
      <w:tr w:rsidR="00003C7A" w14:paraId="22E612BA" w14:textId="77777777" w:rsidTr="00003C7A">
        <w:trPr>
          <w:trHeight w:hRule="exact" w:val="284"/>
          <w:jc w:val="center"/>
        </w:trPr>
        <w:tc>
          <w:tcPr>
            <w:tcW w:w="262" w:type="pct"/>
            <w:tcBorders>
              <w:top w:val="single" w:sz="18" w:space="0" w:color="auto"/>
              <w:left w:val="single" w:sz="18" w:space="0" w:color="auto"/>
              <w:bottom w:val="single" w:sz="6" w:space="0" w:color="auto"/>
              <w:right w:val="nil"/>
            </w:tcBorders>
          </w:tcPr>
          <w:p w14:paraId="5D934BC7" w14:textId="77777777" w:rsidR="00003C7A" w:rsidRDefault="00003C7A" w:rsidP="00252594">
            <w:pPr>
              <w:pStyle w:val="NormalWeb"/>
              <w:spacing w:before="0" w:after="0"/>
              <w:rPr>
                <w:sz w:val="16"/>
                <w:szCs w:val="16"/>
              </w:rPr>
            </w:pPr>
          </w:p>
        </w:tc>
        <w:tc>
          <w:tcPr>
            <w:tcW w:w="183" w:type="pct"/>
            <w:tcBorders>
              <w:top w:val="single" w:sz="18" w:space="0" w:color="auto"/>
              <w:left w:val="nil"/>
              <w:bottom w:val="single" w:sz="6" w:space="0" w:color="auto"/>
              <w:right w:val="nil"/>
            </w:tcBorders>
          </w:tcPr>
          <w:p w14:paraId="76CEFE76" w14:textId="77777777" w:rsidR="00003C7A" w:rsidRDefault="00003C7A" w:rsidP="00252594">
            <w:pPr>
              <w:pStyle w:val="NormalWeb"/>
              <w:spacing w:before="0" w:after="0"/>
              <w:rPr>
                <w:sz w:val="16"/>
                <w:szCs w:val="16"/>
              </w:rPr>
            </w:pPr>
          </w:p>
          <w:p w14:paraId="7E04E7A7" w14:textId="77777777" w:rsidR="00003C7A" w:rsidRDefault="00003C7A" w:rsidP="00252594">
            <w:pPr>
              <w:pStyle w:val="NormalWeb"/>
              <w:spacing w:before="0" w:after="0"/>
              <w:rPr>
                <w:sz w:val="16"/>
                <w:szCs w:val="16"/>
              </w:rPr>
            </w:pPr>
          </w:p>
        </w:tc>
        <w:tc>
          <w:tcPr>
            <w:tcW w:w="2787" w:type="pct"/>
            <w:tcBorders>
              <w:top w:val="single" w:sz="18" w:space="0" w:color="auto"/>
              <w:left w:val="nil"/>
              <w:bottom w:val="single" w:sz="6" w:space="0" w:color="auto"/>
              <w:right w:val="single" w:sz="18" w:space="0" w:color="auto"/>
            </w:tcBorders>
            <w:vAlign w:val="center"/>
          </w:tcPr>
          <w:p w14:paraId="1D37FC5D" w14:textId="77777777" w:rsidR="00003C7A" w:rsidRDefault="00003C7A" w:rsidP="00252594">
            <w:pPr>
              <w:pStyle w:val="NormalWeb"/>
              <w:spacing w:before="0" w:after="0"/>
              <w:rPr>
                <w:sz w:val="16"/>
                <w:szCs w:val="16"/>
              </w:rPr>
            </w:pPr>
            <w:r>
              <w:rPr>
                <w:sz w:val="16"/>
                <w:szCs w:val="16"/>
              </w:rPr>
              <w:t>Nombre de passagers sur la période</w:t>
            </w:r>
          </w:p>
        </w:tc>
        <w:tc>
          <w:tcPr>
            <w:tcW w:w="589" w:type="pct"/>
            <w:tcBorders>
              <w:top w:val="single" w:sz="18" w:space="0" w:color="auto"/>
              <w:left w:val="single" w:sz="6" w:space="0" w:color="auto"/>
              <w:bottom w:val="single" w:sz="6" w:space="0" w:color="auto"/>
              <w:right w:val="single" w:sz="6" w:space="0" w:color="auto"/>
            </w:tcBorders>
          </w:tcPr>
          <w:p w14:paraId="3338E087" w14:textId="77777777" w:rsidR="00003C7A" w:rsidRDefault="00003C7A" w:rsidP="00252594">
            <w:pPr>
              <w:pStyle w:val="NormalWeb"/>
              <w:spacing w:before="0" w:after="0"/>
            </w:pPr>
          </w:p>
        </w:tc>
        <w:tc>
          <w:tcPr>
            <w:tcW w:w="589" w:type="pct"/>
            <w:tcBorders>
              <w:top w:val="single" w:sz="18" w:space="0" w:color="auto"/>
              <w:left w:val="single" w:sz="6" w:space="0" w:color="auto"/>
              <w:bottom w:val="single" w:sz="6" w:space="0" w:color="auto"/>
              <w:right w:val="single" w:sz="18" w:space="0" w:color="auto"/>
            </w:tcBorders>
          </w:tcPr>
          <w:p w14:paraId="280A733C"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33F3969F" w14:textId="77777777" w:rsidR="00003C7A" w:rsidRDefault="00003C7A" w:rsidP="00252594">
            <w:pPr>
              <w:pStyle w:val="NormalWeb"/>
              <w:spacing w:before="0" w:after="0"/>
              <w:rPr>
                <w:sz w:val="16"/>
                <w:szCs w:val="16"/>
              </w:rPr>
            </w:pPr>
          </w:p>
        </w:tc>
      </w:tr>
      <w:tr w:rsidR="00003C7A" w14:paraId="14121E0C"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6F692F8D" w14:textId="77777777" w:rsidR="00003C7A" w:rsidRDefault="00003C7A" w:rsidP="00252594">
            <w:pPr>
              <w:pStyle w:val="NormalWeb"/>
              <w:spacing w:before="0" w:after="0"/>
              <w:rPr>
                <w:sz w:val="16"/>
                <w:szCs w:val="16"/>
              </w:rPr>
            </w:pPr>
          </w:p>
        </w:tc>
        <w:tc>
          <w:tcPr>
            <w:tcW w:w="183" w:type="pct"/>
            <w:tcBorders>
              <w:top w:val="single" w:sz="6" w:space="0" w:color="auto"/>
              <w:left w:val="nil"/>
              <w:bottom w:val="single" w:sz="6" w:space="0" w:color="auto"/>
              <w:right w:val="nil"/>
            </w:tcBorders>
          </w:tcPr>
          <w:p w14:paraId="31522717" w14:textId="77777777" w:rsidR="00003C7A" w:rsidRDefault="00003C7A" w:rsidP="00252594">
            <w:pPr>
              <w:pStyle w:val="NormalWeb"/>
              <w:spacing w:before="0" w:after="0"/>
              <w:rPr>
                <w:sz w:val="16"/>
                <w:szCs w:val="16"/>
              </w:rPr>
            </w:pPr>
          </w:p>
        </w:tc>
        <w:tc>
          <w:tcPr>
            <w:tcW w:w="2787" w:type="pct"/>
            <w:tcBorders>
              <w:top w:val="single" w:sz="6" w:space="0" w:color="auto"/>
              <w:left w:val="nil"/>
              <w:bottom w:val="single" w:sz="6" w:space="0" w:color="auto"/>
              <w:right w:val="single" w:sz="18" w:space="0" w:color="auto"/>
            </w:tcBorders>
            <w:vAlign w:val="center"/>
          </w:tcPr>
          <w:p w14:paraId="37B2625E" w14:textId="77777777" w:rsidR="00003C7A" w:rsidRDefault="00003C7A" w:rsidP="00252594">
            <w:pPr>
              <w:pStyle w:val="NormalWeb"/>
              <w:spacing w:before="0" w:after="0"/>
              <w:rPr>
                <w:sz w:val="16"/>
                <w:szCs w:val="16"/>
              </w:rPr>
            </w:pPr>
            <w:r>
              <w:rPr>
                <w:sz w:val="16"/>
                <w:szCs w:val="16"/>
              </w:rPr>
              <w:t>Passagers par vol</w:t>
            </w:r>
          </w:p>
        </w:tc>
        <w:tc>
          <w:tcPr>
            <w:tcW w:w="589" w:type="pct"/>
            <w:tcBorders>
              <w:top w:val="single" w:sz="6" w:space="0" w:color="auto"/>
              <w:left w:val="single" w:sz="6" w:space="0" w:color="auto"/>
              <w:bottom w:val="single" w:sz="6" w:space="0" w:color="auto"/>
              <w:right w:val="single" w:sz="6" w:space="0" w:color="auto"/>
            </w:tcBorders>
          </w:tcPr>
          <w:p w14:paraId="7ACB0F86"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5B1F8735"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6392DC16" w14:textId="77777777" w:rsidR="00003C7A" w:rsidRDefault="00003C7A" w:rsidP="00252594">
            <w:pPr>
              <w:pStyle w:val="NormalWeb"/>
              <w:spacing w:before="0" w:after="0"/>
              <w:rPr>
                <w:sz w:val="16"/>
                <w:szCs w:val="16"/>
              </w:rPr>
            </w:pPr>
          </w:p>
        </w:tc>
      </w:tr>
      <w:tr w:rsidR="00003C7A" w14:paraId="4DA7046D"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161774F9" w14:textId="77777777" w:rsidR="00003C7A" w:rsidRDefault="00003C7A" w:rsidP="00252594">
            <w:pPr>
              <w:pStyle w:val="NormalWeb"/>
              <w:spacing w:before="0" w:after="0"/>
              <w:rPr>
                <w:sz w:val="16"/>
                <w:szCs w:val="16"/>
              </w:rPr>
            </w:pPr>
          </w:p>
        </w:tc>
        <w:tc>
          <w:tcPr>
            <w:tcW w:w="183" w:type="pct"/>
            <w:tcBorders>
              <w:top w:val="single" w:sz="6" w:space="0" w:color="auto"/>
              <w:left w:val="nil"/>
              <w:bottom w:val="single" w:sz="6" w:space="0" w:color="auto"/>
              <w:right w:val="nil"/>
            </w:tcBorders>
          </w:tcPr>
          <w:p w14:paraId="1CEF3A4B" w14:textId="77777777" w:rsidR="00003C7A" w:rsidRDefault="00003C7A" w:rsidP="00252594">
            <w:pPr>
              <w:pStyle w:val="NormalWeb"/>
              <w:spacing w:before="0" w:after="0"/>
              <w:rPr>
                <w:sz w:val="16"/>
                <w:szCs w:val="16"/>
              </w:rPr>
            </w:pPr>
          </w:p>
        </w:tc>
        <w:tc>
          <w:tcPr>
            <w:tcW w:w="2787" w:type="pct"/>
            <w:tcBorders>
              <w:top w:val="single" w:sz="6" w:space="0" w:color="auto"/>
              <w:left w:val="nil"/>
              <w:bottom w:val="single" w:sz="6" w:space="0" w:color="auto"/>
              <w:right w:val="single" w:sz="18" w:space="0" w:color="auto"/>
            </w:tcBorders>
            <w:vAlign w:val="center"/>
          </w:tcPr>
          <w:p w14:paraId="209C0DD0" w14:textId="77777777" w:rsidR="00003C7A" w:rsidRDefault="00003C7A" w:rsidP="00252594">
            <w:pPr>
              <w:pStyle w:val="NormalWeb"/>
              <w:spacing w:before="0" w:after="0"/>
              <w:rPr>
                <w:sz w:val="16"/>
                <w:szCs w:val="16"/>
              </w:rPr>
            </w:pPr>
            <w:r>
              <w:rPr>
                <w:sz w:val="16"/>
                <w:szCs w:val="16"/>
              </w:rPr>
              <w:t>Sièges offerts sur la période</w:t>
            </w:r>
          </w:p>
        </w:tc>
        <w:tc>
          <w:tcPr>
            <w:tcW w:w="589" w:type="pct"/>
            <w:tcBorders>
              <w:top w:val="single" w:sz="6" w:space="0" w:color="auto"/>
              <w:left w:val="single" w:sz="6" w:space="0" w:color="auto"/>
              <w:bottom w:val="single" w:sz="6" w:space="0" w:color="auto"/>
              <w:right w:val="single" w:sz="6" w:space="0" w:color="auto"/>
            </w:tcBorders>
          </w:tcPr>
          <w:p w14:paraId="04117CF3"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2DF32F39"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65677958" w14:textId="77777777" w:rsidR="00003C7A" w:rsidRDefault="00003C7A" w:rsidP="00252594">
            <w:pPr>
              <w:pStyle w:val="NormalWeb"/>
              <w:spacing w:before="0" w:after="0"/>
              <w:rPr>
                <w:sz w:val="16"/>
                <w:szCs w:val="16"/>
              </w:rPr>
            </w:pPr>
          </w:p>
        </w:tc>
      </w:tr>
      <w:tr w:rsidR="00003C7A" w14:paraId="5D5348B7"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1B61B32D" w14:textId="77777777" w:rsidR="00003C7A" w:rsidRDefault="00003C7A" w:rsidP="00252594">
            <w:pPr>
              <w:pStyle w:val="NormalWeb"/>
              <w:spacing w:before="0" w:after="0"/>
              <w:rPr>
                <w:sz w:val="16"/>
                <w:szCs w:val="16"/>
              </w:rPr>
            </w:pPr>
          </w:p>
        </w:tc>
        <w:tc>
          <w:tcPr>
            <w:tcW w:w="183" w:type="pct"/>
            <w:tcBorders>
              <w:top w:val="single" w:sz="6" w:space="0" w:color="auto"/>
              <w:left w:val="nil"/>
              <w:bottom w:val="single" w:sz="6" w:space="0" w:color="auto"/>
              <w:right w:val="nil"/>
            </w:tcBorders>
          </w:tcPr>
          <w:p w14:paraId="0E237634" w14:textId="77777777" w:rsidR="00003C7A" w:rsidRDefault="00003C7A" w:rsidP="00252594">
            <w:pPr>
              <w:pStyle w:val="NormalWeb"/>
              <w:spacing w:before="0" w:after="0"/>
              <w:rPr>
                <w:sz w:val="16"/>
                <w:szCs w:val="16"/>
              </w:rPr>
            </w:pPr>
          </w:p>
        </w:tc>
        <w:tc>
          <w:tcPr>
            <w:tcW w:w="2787" w:type="pct"/>
            <w:tcBorders>
              <w:top w:val="single" w:sz="6" w:space="0" w:color="auto"/>
              <w:left w:val="nil"/>
              <w:bottom w:val="single" w:sz="6" w:space="0" w:color="auto"/>
              <w:right w:val="single" w:sz="18" w:space="0" w:color="auto"/>
            </w:tcBorders>
            <w:vAlign w:val="center"/>
          </w:tcPr>
          <w:p w14:paraId="017A6CDB" w14:textId="77777777" w:rsidR="00003C7A" w:rsidRDefault="00003C7A" w:rsidP="00252594">
            <w:pPr>
              <w:pStyle w:val="NormalWeb"/>
              <w:spacing w:before="0" w:after="0"/>
              <w:rPr>
                <w:sz w:val="16"/>
                <w:szCs w:val="16"/>
              </w:rPr>
            </w:pPr>
            <w:r>
              <w:rPr>
                <w:sz w:val="16"/>
                <w:szCs w:val="16"/>
              </w:rPr>
              <w:t>Nombre de fréquences sur la période</w:t>
            </w:r>
          </w:p>
        </w:tc>
        <w:tc>
          <w:tcPr>
            <w:tcW w:w="589" w:type="pct"/>
            <w:tcBorders>
              <w:top w:val="single" w:sz="6" w:space="0" w:color="auto"/>
              <w:left w:val="single" w:sz="6" w:space="0" w:color="auto"/>
              <w:bottom w:val="single" w:sz="6" w:space="0" w:color="auto"/>
              <w:right w:val="single" w:sz="6" w:space="0" w:color="auto"/>
            </w:tcBorders>
          </w:tcPr>
          <w:p w14:paraId="59BD78A0"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54C97182"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4F146AD5" w14:textId="77777777" w:rsidR="00003C7A" w:rsidRDefault="00003C7A" w:rsidP="00252594">
            <w:pPr>
              <w:pStyle w:val="NormalWeb"/>
              <w:spacing w:before="0" w:after="0"/>
              <w:rPr>
                <w:sz w:val="16"/>
                <w:szCs w:val="16"/>
              </w:rPr>
            </w:pPr>
          </w:p>
        </w:tc>
      </w:tr>
      <w:tr w:rsidR="00003C7A" w14:paraId="553BC299" w14:textId="77777777" w:rsidTr="00003C7A">
        <w:trPr>
          <w:trHeight w:hRule="exact" w:val="284"/>
          <w:jc w:val="center"/>
        </w:trPr>
        <w:tc>
          <w:tcPr>
            <w:tcW w:w="262" w:type="pct"/>
            <w:tcBorders>
              <w:top w:val="single" w:sz="6" w:space="0" w:color="auto"/>
              <w:left w:val="single" w:sz="18" w:space="0" w:color="auto"/>
              <w:bottom w:val="single" w:sz="18" w:space="0" w:color="auto"/>
              <w:right w:val="nil"/>
            </w:tcBorders>
          </w:tcPr>
          <w:p w14:paraId="5F197E6D" w14:textId="77777777" w:rsidR="00003C7A" w:rsidRDefault="00003C7A" w:rsidP="00252594">
            <w:pPr>
              <w:pStyle w:val="NormalWeb"/>
              <w:spacing w:before="0" w:after="0"/>
              <w:rPr>
                <w:sz w:val="16"/>
                <w:szCs w:val="16"/>
              </w:rPr>
            </w:pPr>
          </w:p>
        </w:tc>
        <w:tc>
          <w:tcPr>
            <w:tcW w:w="183" w:type="pct"/>
            <w:tcBorders>
              <w:top w:val="single" w:sz="6" w:space="0" w:color="auto"/>
              <w:left w:val="nil"/>
              <w:bottom w:val="single" w:sz="18" w:space="0" w:color="auto"/>
              <w:right w:val="nil"/>
            </w:tcBorders>
          </w:tcPr>
          <w:p w14:paraId="701415A7" w14:textId="77777777" w:rsidR="00003C7A" w:rsidRDefault="00003C7A" w:rsidP="00252594">
            <w:pPr>
              <w:pStyle w:val="NormalWeb"/>
              <w:spacing w:before="0" w:after="0"/>
              <w:rPr>
                <w:sz w:val="16"/>
                <w:szCs w:val="16"/>
              </w:rPr>
            </w:pPr>
          </w:p>
        </w:tc>
        <w:tc>
          <w:tcPr>
            <w:tcW w:w="2787" w:type="pct"/>
            <w:tcBorders>
              <w:top w:val="single" w:sz="6" w:space="0" w:color="auto"/>
              <w:left w:val="nil"/>
              <w:bottom w:val="single" w:sz="18" w:space="0" w:color="auto"/>
              <w:right w:val="single" w:sz="18" w:space="0" w:color="auto"/>
            </w:tcBorders>
            <w:vAlign w:val="center"/>
          </w:tcPr>
          <w:p w14:paraId="4D8FA3C0" w14:textId="77777777" w:rsidR="00003C7A" w:rsidRDefault="00003C7A" w:rsidP="00252594">
            <w:pPr>
              <w:pStyle w:val="NormalWeb"/>
              <w:spacing w:before="0" w:after="0"/>
              <w:rPr>
                <w:sz w:val="16"/>
                <w:szCs w:val="16"/>
              </w:rPr>
            </w:pPr>
            <w:r>
              <w:rPr>
                <w:sz w:val="16"/>
                <w:szCs w:val="16"/>
              </w:rPr>
              <w:t>Coefficient de remplissage</w:t>
            </w:r>
          </w:p>
        </w:tc>
        <w:tc>
          <w:tcPr>
            <w:tcW w:w="589" w:type="pct"/>
            <w:tcBorders>
              <w:top w:val="single" w:sz="6" w:space="0" w:color="auto"/>
              <w:left w:val="single" w:sz="6" w:space="0" w:color="auto"/>
              <w:bottom w:val="single" w:sz="18" w:space="0" w:color="auto"/>
              <w:right w:val="single" w:sz="6" w:space="0" w:color="auto"/>
            </w:tcBorders>
          </w:tcPr>
          <w:p w14:paraId="33CF3DFA"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18" w:space="0" w:color="auto"/>
              <w:right w:val="single" w:sz="18" w:space="0" w:color="auto"/>
            </w:tcBorders>
          </w:tcPr>
          <w:p w14:paraId="30897FCE"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25F8CF77" w14:textId="77777777" w:rsidR="00003C7A" w:rsidRDefault="00003C7A" w:rsidP="00252594">
            <w:pPr>
              <w:pStyle w:val="NormalWeb"/>
              <w:spacing w:before="0" w:after="0"/>
              <w:rPr>
                <w:sz w:val="16"/>
                <w:szCs w:val="16"/>
              </w:rPr>
            </w:pPr>
          </w:p>
        </w:tc>
      </w:tr>
      <w:tr w:rsidR="00003C7A" w14:paraId="4755AFF2" w14:textId="77777777" w:rsidTr="00003C7A">
        <w:trPr>
          <w:trHeight w:hRule="exact" w:val="284"/>
          <w:jc w:val="center"/>
        </w:trPr>
        <w:tc>
          <w:tcPr>
            <w:tcW w:w="262" w:type="pct"/>
            <w:tcBorders>
              <w:top w:val="single" w:sz="18" w:space="0" w:color="auto"/>
              <w:left w:val="single" w:sz="18" w:space="0" w:color="auto"/>
              <w:bottom w:val="single" w:sz="6" w:space="0" w:color="auto"/>
              <w:right w:val="nil"/>
            </w:tcBorders>
          </w:tcPr>
          <w:p w14:paraId="70A55486" w14:textId="77777777" w:rsidR="00003C7A" w:rsidRDefault="00003C7A" w:rsidP="00252594">
            <w:pPr>
              <w:pStyle w:val="NormalWeb"/>
              <w:spacing w:before="0" w:after="0"/>
              <w:rPr>
                <w:sz w:val="16"/>
                <w:szCs w:val="16"/>
              </w:rPr>
            </w:pPr>
            <w:r>
              <w:rPr>
                <w:sz w:val="16"/>
                <w:szCs w:val="16"/>
              </w:rPr>
              <w:t>(</w:t>
            </w:r>
            <w:proofErr w:type="gramStart"/>
            <w:r>
              <w:rPr>
                <w:sz w:val="16"/>
                <w:szCs w:val="16"/>
              </w:rPr>
              <w:t>d</w:t>
            </w:r>
            <w:proofErr w:type="gramEnd"/>
            <w:r>
              <w:rPr>
                <w:sz w:val="16"/>
                <w:szCs w:val="16"/>
              </w:rPr>
              <w:t>)</w:t>
            </w:r>
          </w:p>
        </w:tc>
        <w:tc>
          <w:tcPr>
            <w:tcW w:w="183" w:type="pct"/>
            <w:tcBorders>
              <w:top w:val="single" w:sz="18" w:space="0" w:color="auto"/>
              <w:left w:val="nil"/>
              <w:bottom w:val="single" w:sz="6" w:space="0" w:color="auto"/>
              <w:right w:val="nil"/>
            </w:tcBorders>
          </w:tcPr>
          <w:p w14:paraId="11A89CEE" w14:textId="77777777" w:rsidR="00003C7A" w:rsidRDefault="00003C7A" w:rsidP="00252594">
            <w:pPr>
              <w:pStyle w:val="NormalWeb"/>
              <w:spacing w:before="0" w:after="0"/>
              <w:rPr>
                <w:sz w:val="16"/>
                <w:szCs w:val="16"/>
              </w:rPr>
            </w:pPr>
          </w:p>
          <w:p w14:paraId="0C9920DE" w14:textId="77777777" w:rsidR="00003C7A" w:rsidRDefault="00003C7A" w:rsidP="00252594">
            <w:pPr>
              <w:pStyle w:val="NormalWeb"/>
              <w:spacing w:before="0" w:after="0"/>
              <w:rPr>
                <w:sz w:val="16"/>
                <w:szCs w:val="16"/>
              </w:rPr>
            </w:pPr>
          </w:p>
        </w:tc>
        <w:tc>
          <w:tcPr>
            <w:tcW w:w="2787" w:type="pct"/>
            <w:tcBorders>
              <w:top w:val="single" w:sz="18" w:space="0" w:color="auto"/>
              <w:left w:val="nil"/>
              <w:bottom w:val="single" w:sz="6" w:space="0" w:color="auto"/>
              <w:right w:val="single" w:sz="18" w:space="0" w:color="auto"/>
            </w:tcBorders>
            <w:vAlign w:val="center"/>
          </w:tcPr>
          <w:p w14:paraId="698EA649" w14:textId="77777777" w:rsidR="00003C7A" w:rsidRDefault="00003C7A" w:rsidP="00252594">
            <w:pPr>
              <w:pStyle w:val="NormalWeb"/>
              <w:spacing w:before="0" w:after="0"/>
              <w:rPr>
                <w:sz w:val="16"/>
                <w:szCs w:val="16"/>
              </w:rPr>
            </w:pPr>
            <w:r>
              <w:rPr>
                <w:sz w:val="16"/>
                <w:szCs w:val="16"/>
              </w:rPr>
              <w:t>Tarif classe affaires hors taxes</w:t>
            </w:r>
          </w:p>
        </w:tc>
        <w:tc>
          <w:tcPr>
            <w:tcW w:w="589" w:type="pct"/>
            <w:tcBorders>
              <w:top w:val="single" w:sz="18" w:space="0" w:color="auto"/>
              <w:left w:val="single" w:sz="6" w:space="0" w:color="auto"/>
              <w:bottom w:val="single" w:sz="6" w:space="0" w:color="auto"/>
              <w:right w:val="single" w:sz="6" w:space="0" w:color="auto"/>
            </w:tcBorders>
          </w:tcPr>
          <w:p w14:paraId="06F5CB57" w14:textId="77777777" w:rsidR="00003C7A" w:rsidRDefault="00003C7A" w:rsidP="00252594">
            <w:pPr>
              <w:pStyle w:val="NormalWeb"/>
              <w:spacing w:before="0" w:after="0"/>
            </w:pPr>
          </w:p>
        </w:tc>
        <w:tc>
          <w:tcPr>
            <w:tcW w:w="589" w:type="pct"/>
            <w:tcBorders>
              <w:top w:val="single" w:sz="18" w:space="0" w:color="auto"/>
              <w:left w:val="single" w:sz="6" w:space="0" w:color="auto"/>
              <w:bottom w:val="single" w:sz="6" w:space="0" w:color="auto"/>
              <w:right w:val="single" w:sz="18" w:space="0" w:color="auto"/>
            </w:tcBorders>
          </w:tcPr>
          <w:p w14:paraId="1E866A8D"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25B26191" w14:textId="77777777" w:rsidR="00003C7A" w:rsidRDefault="00003C7A" w:rsidP="00252594">
            <w:pPr>
              <w:pStyle w:val="NormalWeb"/>
              <w:spacing w:before="0" w:after="0"/>
              <w:rPr>
                <w:sz w:val="16"/>
                <w:szCs w:val="16"/>
              </w:rPr>
            </w:pPr>
          </w:p>
        </w:tc>
      </w:tr>
      <w:tr w:rsidR="00003C7A" w14:paraId="641CC303"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3D4BC090" w14:textId="77777777" w:rsidR="00003C7A" w:rsidRDefault="00003C7A" w:rsidP="00252594">
            <w:pPr>
              <w:pStyle w:val="NormalWeb"/>
              <w:spacing w:before="0" w:after="0"/>
              <w:rPr>
                <w:sz w:val="16"/>
                <w:szCs w:val="16"/>
              </w:rPr>
            </w:pPr>
            <w:r>
              <w:rPr>
                <w:sz w:val="16"/>
                <w:szCs w:val="16"/>
              </w:rPr>
              <w:t>(</w:t>
            </w:r>
            <w:proofErr w:type="gramStart"/>
            <w:r>
              <w:rPr>
                <w:sz w:val="16"/>
                <w:szCs w:val="16"/>
              </w:rPr>
              <w:t>d</w:t>
            </w:r>
            <w:proofErr w:type="gramEnd"/>
            <w:r>
              <w:rPr>
                <w:sz w:val="16"/>
                <w:szCs w:val="16"/>
              </w:rPr>
              <w:t>)</w:t>
            </w:r>
          </w:p>
        </w:tc>
        <w:tc>
          <w:tcPr>
            <w:tcW w:w="183" w:type="pct"/>
            <w:tcBorders>
              <w:top w:val="single" w:sz="6" w:space="0" w:color="auto"/>
              <w:left w:val="nil"/>
              <w:bottom w:val="single" w:sz="6" w:space="0" w:color="auto"/>
              <w:right w:val="nil"/>
            </w:tcBorders>
          </w:tcPr>
          <w:p w14:paraId="1E273280" w14:textId="77777777" w:rsidR="00003C7A" w:rsidRDefault="00003C7A" w:rsidP="00252594">
            <w:pPr>
              <w:pStyle w:val="NormalWeb"/>
              <w:spacing w:before="0" w:after="0"/>
              <w:rPr>
                <w:sz w:val="16"/>
                <w:szCs w:val="16"/>
              </w:rPr>
            </w:pPr>
          </w:p>
        </w:tc>
        <w:tc>
          <w:tcPr>
            <w:tcW w:w="2787" w:type="pct"/>
            <w:tcBorders>
              <w:top w:val="single" w:sz="6" w:space="0" w:color="auto"/>
              <w:left w:val="nil"/>
              <w:bottom w:val="single" w:sz="6" w:space="0" w:color="auto"/>
              <w:right w:val="single" w:sz="18" w:space="0" w:color="auto"/>
            </w:tcBorders>
            <w:vAlign w:val="center"/>
          </w:tcPr>
          <w:p w14:paraId="60C91856" w14:textId="77777777" w:rsidR="00003C7A" w:rsidRDefault="00003C7A" w:rsidP="00252594">
            <w:pPr>
              <w:pStyle w:val="NormalWeb"/>
              <w:spacing w:before="0" w:after="0"/>
              <w:rPr>
                <w:sz w:val="16"/>
                <w:szCs w:val="16"/>
              </w:rPr>
            </w:pPr>
            <w:r>
              <w:rPr>
                <w:sz w:val="16"/>
                <w:szCs w:val="16"/>
              </w:rPr>
              <w:t>Tarif classe économique hors taxes</w:t>
            </w:r>
          </w:p>
        </w:tc>
        <w:tc>
          <w:tcPr>
            <w:tcW w:w="589" w:type="pct"/>
            <w:tcBorders>
              <w:top w:val="single" w:sz="6" w:space="0" w:color="auto"/>
              <w:left w:val="single" w:sz="6" w:space="0" w:color="auto"/>
              <w:bottom w:val="single" w:sz="6" w:space="0" w:color="auto"/>
              <w:right w:val="single" w:sz="6" w:space="0" w:color="auto"/>
            </w:tcBorders>
          </w:tcPr>
          <w:p w14:paraId="266EC620"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02B378F2"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3A337BAF" w14:textId="77777777" w:rsidR="00003C7A" w:rsidRDefault="00003C7A" w:rsidP="00252594">
            <w:pPr>
              <w:pStyle w:val="NormalWeb"/>
              <w:spacing w:before="0" w:after="0"/>
              <w:rPr>
                <w:sz w:val="16"/>
                <w:szCs w:val="16"/>
              </w:rPr>
            </w:pPr>
          </w:p>
        </w:tc>
      </w:tr>
      <w:tr w:rsidR="00003C7A" w14:paraId="5BB806F0"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3E724426" w14:textId="77777777" w:rsidR="00003C7A" w:rsidRDefault="00003C7A" w:rsidP="00252594">
            <w:pPr>
              <w:pStyle w:val="NormalWeb"/>
              <w:spacing w:before="0" w:after="0"/>
              <w:rPr>
                <w:sz w:val="16"/>
                <w:szCs w:val="16"/>
              </w:rPr>
            </w:pPr>
            <w:r>
              <w:rPr>
                <w:sz w:val="16"/>
                <w:szCs w:val="16"/>
              </w:rPr>
              <w:t>(</w:t>
            </w:r>
            <w:proofErr w:type="gramStart"/>
            <w:r>
              <w:rPr>
                <w:sz w:val="16"/>
                <w:szCs w:val="16"/>
              </w:rPr>
              <w:t>e</w:t>
            </w:r>
            <w:proofErr w:type="gramEnd"/>
            <w:r>
              <w:rPr>
                <w:sz w:val="16"/>
                <w:szCs w:val="16"/>
              </w:rPr>
              <w:t>)</w:t>
            </w:r>
          </w:p>
        </w:tc>
        <w:tc>
          <w:tcPr>
            <w:tcW w:w="183" w:type="pct"/>
            <w:tcBorders>
              <w:top w:val="single" w:sz="6" w:space="0" w:color="auto"/>
              <w:left w:val="nil"/>
              <w:bottom w:val="single" w:sz="6" w:space="0" w:color="auto"/>
              <w:right w:val="nil"/>
            </w:tcBorders>
          </w:tcPr>
          <w:p w14:paraId="40AD3B86" w14:textId="77777777" w:rsidR="00003C7A" w:rsidRDefault="00003C7A" w:rsidP="00252594">
            <w:pPr>
              <w:pStyle w:val="NormalWeb"/>
              <w:spacing w:before="0" w:after="0"/>
              <w:rPr>
                <w:sz w:val="16"/>
                <w:szCs w:val="16"/>
              </w:rPr>
            </w:pPr>
          </w:p>
        </w:tc>
        <w:tc>
          <w:tcPr>
            <w:tcW w:w="2787" w:type="pct"/>
            <w:tcBorders>
              <w:top w:val="single" w:sz="6" w:space="0" w:color="auto"/>
              <w:left w:val="nil"/>
              <w:bottom w:val="single" w:sz="6" w:space="0" w:color="auto"/>
              <w:right w:val="single" w:sz="18" w:space="0" w:color="auto"/>
            </w:tcBorders>
            <w:vAlign w:val="center"/>
          </w:tcPr>
          <w:p w14:paraId="50D155BA" w14:textId="77777777" w:rsidR="00003C7A" w:rsidRDefault="00003C7A" w:rsidP="00252594">
            <w:pPr>
              <w:pStyle w:val="NormalWeb"/>
              <w:spacing w:before="0" w:after="0"/>
              <w:rPr>
                <w:sz w:val="16"/>
                <w:szCs w:val="16"/>
              </w:rPr>
            </w:pPr>
            <w:r>
              <w:rPr>
                <w:sz w:val="16"/>
                <w:szCs w:val="16"/>
              </w:rPr>
              <w:t>Recette moyenne par passager hors taxes</w:t>
            </w:r>
          </w:p>
        </w:tc>
        <w:tc>
          <w:tcPr>
            <w:tcW w:w="589" w:type="pct"/>
            <w:tcBorders>
              <w:top w:val="single" w:sz="6" w:space="0" w:color="auto"/>
              <w:left w:val="single" w:sz="6" w:space="0" w:color="auto"/>
              <w:bottom w:val="single" w:sz="6" w:space="0" w:color="auto"/>
              <w:right w:val="single" w:sz="6" w:space="0" w:color="auto"/>
            </w:tcBorders>
          </w:tcPr>
          <w:p w14:paraId="6EE226AB"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74F2621B"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11AAACE8" w14:textId="77777777" w:rsidR="00003C7A" w:rsidRDefault="00003C7A" w:rsidP="00252594">
            <w:pPr>
              <w:pStyle w:val="NormalWeb"/>
              <w:spacing w:before="0" w:after="0"/>
              <w:rPr>
                <w:sz w:val="16"/>
                <w:szCs w:val="16"/>
              </w:rPr>
            </w:pPr>
          </w:p>
        </w:tc>
      </w:tr>
      <w:tr w:rsidR="00003C7A" w14:paraId="6BBE8DAD" w14:textId="77777777" w:rsidTr="00003C7A">
        <w:trPr>
          <w:trHeight w:hRule="exact" w:val="483"/>
          <w:jc w:val="center"/>
        </w:trPr>
        <w:tc>
          <w:tcPr>
            <w:tcW w:w="262" w:type="pct"/>
            <w:tcBorders>
              <w:top w:val="single" w:sz="6" w:space="0" w:color="auto"/>
              <w:left w:val="single" w:sz="18" w:space="0" w:color="auto"/>
              <w:bottom w:val="single" w:sz="18" w:space="0" w:color="auto"/>
              <w:right w:val="nil"/>
            </w:tcBorders>
          </w:tcPr>
          <w:p w14:paraId="3DEF0A0B" w14:textId="77777777" w:rsidR="00003C7A" w:rsidRDefault="00003C7A" w:rsidP="00252594">
            <w:pPr>
              <w:pStyle w:val="NormalWeb"/>
              <w:spacing w:before="0" w:after="0"/>
              <w:rPr>
                <w:sz w:val="16"/>
                <w:szCs w:val="16"/>
              </w:rPr>
            </w:pPr>
            <w:r>
              <w:rPr>
                <w:sz w:val="16"/>
                <w:szCs w:val="16"/>
              </w:rPr>
              <w:t>(</w:t>
            </w:r>
            <w:proofErr w:type="gramStart"/>
            <w:r>
              <w:rPr>
                <w:sz w:val="16"/>
                <w:szCs w:val="16"/>
              </w:rPr>
              <w:t>e</w:t>
            </w:r>
            <w:proofErr w:type="gramEnd"/>
            <w:r>
              <w:rPr>
                <w:sz w:val="16"/>
                <w:szCs w:val="16"/>
              </w:rPr>
              <w:t>)</w:t>
            </w:r>
          </w:p>
        </w:tc>
        <w:tc>
          <w:tcPr>
            <w:tcW w:w="183" w:type="pct"/>
            <w:tcBorders>
              <w:top w:val="single" w:sz="6" w:space="0" w:color="auto"/>
              <w:left w:val="nil"/>
              <w:bottom w:val="single" w:sz="18" w:space="0" w:color="auto"/>
              <w:right w:val="nil"/>
            </w:tcBorders>
          </w:tcPr>
          <w:p w14:paraId="16610E35" w14:textId="77777777" w:rsidR="00003C7A" w:rsidRDefault="00003C7A" w:rsidP="00252594">
            <w:pPr>
              <w:pStyle w:val="NormalWeb"/>
              <w:spacing w:before="0" w:after="0"/>
              <w:rPr>
                <w:sz w:val="16"/>
                <w:szCs w:val="16"/>
              </w:rPr>
            </w:pPr>
          </w:p>
        </w:tc>
        <w:tc>
          <w:tcPr>
            <w:tcW w:w="2787" w:type="pct"/>
            <w:tcBorders>
              <w:top w:val="single" w:sz="6" w:space="0" w:color="auto"/>
              <w:left w:val="nil"/>
              <w:bottom w:val="single" w:sz="18" w:space="0" w:color="auto"/>
              <w:right w:val="single" w:sz="18" w:space="0" w:color="auto"/>
            </w:tcBorders>
          </w:tcPr>
          <w:p w14:paraId="246AC24D" w14:textId="77777777" w:rsidR="00003C7A" w:rsidRDefault="00003C7A" w:rsidP="00252594">
            <w:pPr>
              <w:pStyle w:val="NormalWeb"/>
              <w:spacing w:before="0" w:after="0"/>
              <w:rPr>
                <w:sz w:val="16"/>
                <w:szCs w:val="16"/>
              </w:rPr>
            </w:pPr>
            <w:r>
              <w:rPr>
                <w:sz w:val="16"/>
                <w:szCs w:val="16"/>
              </w:rPr>
              <w:t xml:space="preserve">Recette moyenne par passager hors taxes </w:t>
            </w:r>
            <w:r>
              <w:rPr>
                <w:sz w:val="16"/>
                <w:szCs w:val="16"/>
              </w:rPr>
              <w:br/>
              <w:t>et hors commissions aux agences</w:t>
            </w:r>
          </w:p>
        </w:tc>
        <w:tc>
          <w:tcPr>
            <w:tcW w:w="589" w:type="pct"/>
            <w:tcBorders>
              <w:top w:val="single" w:sz="6" w:space="0" w:color="auto"/>
              <w:left w:val="single" w:sz="6" w:space="0" w:color="auto"/>
              <w:bottom w:val="single" w:sz="18" w:space="0" w:color="auto"/>
              <w:right w:val="single" w:sz="6" w:space="0" w:color="auto"/>
            </w:tcBorders>
          </w:tcPr>
          <w:p w14:paraId="33C9FFA8"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18" w:space="0" w:color="auto"/>
              <w:right w:val="single" w:sz="18" w:space="0" w:color="auto"/>
            </w:tcBorders>
          </w:tcPr>
          <w:p w14:paraId="67619DBB"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26ECF6A3" w14:textId="77777777" w:rsidR="00003C7A" w:rsidRDefault="00003C7A" w:rsidP="00252594">
            <w:pPr>
              <w:pStyle w:val="NormalWeb"/>
              <w:spacing w:before="0" w:after="0"/>
              <w:rPr>
                <w:sz w:val="16"/>
                <w:szCs w:val="16"/>
              </w:rPr>
            </w:pPr>
          </w:p>
        </w:tc>
      </w:tr>
      <w:tr w:rsidR="00003C7A" w14:paraId="5E8D6207" w14:textId="77777777" w:rsidTr="00003C7A">
        <w:trPr>
          <w:trHeight w:hRule="exact" w:val="284"/>
          <w:jc w:val="center"/>
        </w:trPr>
        <w:tc>
          <w:tcPr>
            <w:tcW w:w="262" w:type="pct"/>
            <w:tcBorders>
              <w:top w:val="single" w:sz="18" w:space="0" w:color="auto"/>
              <w:left w:val="single" w:sz="18" w:space="0" w:color="auto"/>
              <w:bottom w:val="single" w:sz="6" w:space="0" w:color="auto"/>
              <w:right w:val="nil"/>
            </w:tcBorders>
          </w:tcPr>
          <w:p w14:paraId="084E041C" w14:textId="77777777" w:rsidR="00003C7A" w:rsidRDefault="00003C7A" w:rsidP="00252594">
            <w:pPr>
              <w:pStyle w:val="NormalWeb"/>
              <w:spacing w:before="0" w:after="0"/>
              <w:rPr>
                <w:sz w:val="16"/>
                <w:szCs w:val="16"/>
              </w:rPr>
            </w:pPr>
          </w:p>
        </w:tc>
        <w:tc>
          <w:tcPr>
            <w:tcW w:w="183" w:type="pct"/>
            <w:tcBorders>
              <w:top w:val="single" w:sz="18" w:space="0" w:color="auto"/>
              <w:left w:val="nil"/>
              <w:bottom w:val="single" w:sz="6" w:space="0" w:color="auto"/>
              <w:right w:val="nil"/>
            </w:tcBorders>
          </w:tcPr>
          <w:p w14:paraId="34006D21" w14:textId="77777777" w:rsidR="00003C7A" w:rsidRDefault="00003C7A" w:rsidP="00252594">
            <w:pPr>
              <w:pStyle w:val="NormalWeb"/>
              <w:spacing w:before="0" w:after="0"/>
              <w:rPr>
                <w:sz w:val="16"/>
                <w:szCs w:val="16"/>
              </w:rPr>
            </w:pPr>
          </w:p>
          <w:p w14:paraId="0F67655B" w14:textId="77777777" w:rsidR="00003C7A" w:rsidRDefault="00003C7A" w:rsidP="00252594">
            <w:pPr>
              <w:pStyle w:val="NormalWeb"/>
              <w:spacing w:before="0" w:after="0"/>
              <w:rPr>
                <w:sz w:val="16"/>
                <w:szCs w:val="16"/>
              </w:rPr>
            </w:pPr>
          </w:p>
        </w:tc>
        <w:tc>
          <w:tcPr>
            <w:tcW w:w="2787" w:type="pct"/>
            <w:tcBorders>
              <w:top w:val="single" w:sz="18" w:space="0" w:color="auto"/>
              <w:left w:val="nil"/>
              <w:bottom w:val="single" w:sz="6" w:space="0" w:color="auto"/>
              <w:right w:val="single" w:sz="18" w:space="0" w:color="auto"/>
            </w:tcBorders>
            <w:vAlign w:val="center"/>
          </w:tcPr>
          <w:p w14:paraId="0CA809C9" w14:textId="77777777" w:rsidR="00003C7A" w:rsidRDefault="00003C7A" w:rsidP="00252594">
            <w:pPr>
              <w:pStyle w:val="NormalWeb"/>
              <w:spacing w:before="0" w:after="0"/>
              <w:rPr>
                <w:sz w:val="16"/>
                <w:szCs w:val="16"/>
              </w:rPr>
            </w:pPr>
            <w:r>
              <w:rPr>
                <w:sz w:val="16"/>
                <w:szCs w:val="16"/>
              </w:rPr>
              <w:t>Fret en kilogrammes sur la période</w:t>
            </w:r>
          </w:p>
        </w:tc>
        <w:tc>
          <w:tcPr>
            <w:tcW w:w="589" w:type="pct"/>
            <w:tcBorders>
              <w:top w:val="single" w:sz="18" w:space="0" w:color="auto"/>
              <w:left w:val="single" w:sz="6" w:space="0" w:color="auto"/>
              <w:bottom w:val="single" w:sz="6" w:space="0" w:color="auto"/>
              <w:right w:val="single" w:sz="6" w:space="0" w:color="auto"/>
            </w:tcBorders>
          </w:tcPr>
          <w:p w14:paraId="0BCA052A" w14:textId="77777777" w:rsidR="00003C7A" w:rsidRDefault="00003C7A" w:rsidP="00252594">
            <w:pPr>
              <w:pStyle w:val="NormalWeb"/>
              <w:spacing w:before="0" w:after="0"/>
            </w:pPr>
          </w:p>
        </w:tc>
        <w:tc>
          <w:tcPr>
            <w:tcW w:w="589" w:type="pct"/>
            <w:tcBorders>
              <w:top w:val="single" w:sz="18" w:space="0" w:color="auto"/>
              <w:left w:val="single" w:sz="6" w:space="0" w:color="auto"/>
              <w:bottom w:val="single" w:sz="6" w:space="0" w:color="auto"/>
              <w:right w:val="single" w:sz="18" w:space="0" w:color="auto"/>
            </w:tcBorders>
          </w:tcPr>
          <w:p w14:paraId="6034CF5B"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6503D19D" w14:textId="77777777" w:rsidR="00003C7A" w:rsidRDefault="00003C7A" w:rsidP="00252594">
            <w:pPr>
              <w:pStyle w:val="NormalWeb"/>
              <w:spacing w:before="0" w:after="0"/>
              <w:rPr>
                <w:sz w:val="16"/>
                <w:szCs w:val="16"/>
              </w:rPr>
            </w:pPr>
          </w:p>
        </w:tc>
      </w:tr>
      <w:tr w:rsidR="00003C7A" w14:paraId="7BE7BBBA"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70F69941" w14:textId="77777777" w:rsidR="00003C7A" w:rsidRDefault="00003C7A" w:rsidP="00252594">
            <w:pPr>
              <w:pStyle w:val="NormalWeb"/>
              <w:spacing w:before="0" w:after="0"/>
              <w:rPr>
                <w:sz w:val="16"/>
                <w:szCs w:val="16"/>
              </w:rPr>
            </w:pPr>
          </w:p>
        </w:tc>
        <w:tc>
          <w:tcPr>
            <w:tcW w:w="183" w:type="pct"/>
            <w:tcBorders>
              <w:top w:val="single" w:sz="6" w:space="0" w:color="auto"/>
              <w:left w:val="nil"/>
              <w:bottom w:val="single" w:sz="6" w:space="0" w:color="auto"/>
              <w:right w:val="nil"/>
            </w:tcBorders>
          </w:tcPr>
          <w:p w14:paraId="3F625656" w14:textId="77777777" w:rsidR="00003C7A" w:rsidRDefault="00003C7A" w:rsidP="00252594">
            <w:pPr>
              <w:pStyle w:val="NormalWeb"/>
              <w:spacing w:before="0" w:after="0"/>
              <w:rPr>
                <w:sz w:val="16"/>
                <w:szCs w:val="16"/>
              </w:rPr>
            </w:pPr>
          </w:p>
        </w:tc>
        <w:tc>
          <w:tcPr>
            <w:tcW w:w="2787" w:type="pct"/>
            <w:tcBorders>
              <w:top w:val="single" w:sz="6" w:space="0" w:color="auto"/>
              <w:left w:val="nil"/>
              <w:bottom w:val="single" w:sz="6" w:space="0" w:color="auto"/>
              <w:right w:val="single" w:sz="18" w:space="0" w:color="auto"/>
            </w:tcBorders>
            <w:vAlign w:val="center"/>
          </w:tcPr>
          <w:p w14:paraId="3A9707AB" w14:textId="77777777" w:rsidR="00003C7A" w:rsidRDefault="00003C7A" w:rsidP="00252594">
            <w:pPr>
              <w:pStyle w:val="NormalWeb"/>
              <w:spacing w:before="0" w:after="0"/>
              <w:rPr>
                <w:b/>
                <w:i/>
                <w:sz w:val="16"/>
                <w:szCs w:val="16"/>
              </w:rPr>
            </w:pPr>
            <w:r>
              <w:rPr>
                <w:sz w:val="16"/>
                <w:szCs w:val="16"/>
              </w:rPr>
              <w:t>Tarif de base par kilogramme</w:t>
            </w:r>
          </w:p>
        </w:tc>
        <w:tc>
          <w:tcPr>
            <w:tcW w:w="589" w:type="pct"/>
            <w:tcBorders>
              <w:top w:val="single" w:sz="6" w:space="0" w:color="auto"/>
              <w:left w:val="single" w:sz="6" w:space="0" w:color="auto"/>
              <w:bottom w:val="single" w:sz="6" w:space="0" w:color="auto"/>
              <w:right w:val="single" w:sz="6" w:space="0" w:color="auto"/>
            </w:tcBorders>
          </w:tcPr>
          <w:p w14:paraId="699EAEFE"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07AC2D14"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734A13D5" w14:textId="77777777" w:rsidR="00003C7A" w:rsidRDefault="00003C7A" w:rsidP="00252594">
            <w:pPr>
              <w:pStyle w:val="NormalWeb"/>
              <w:spacing w:before="0" w:after="0"/>
              <w:rPr>
                <w:sz w:val="16"/>
                <w:szCs w:val="16"/>
              </w:rPr>
            </w:pPr>
          </w:p>
        </w:tc>
      </w:tr>
      <w:tr w:rsidR="00003C7A" w14:paraId="3FD73DCB" w14:textId="77777777" w:rsidTr="00003C7A">
        <w:trPr>
          <w:trHeight w:hRule="exact" w:val="284"/>
          <w:jc w:val="center"/>
        </w:trPr>
        <w:tc>
          <w:tcPr>
            <w:tcW w:w="262" w:type="pct"/>
            <w:tcBorders>
              <w:top w:val="single" w:sz="6" w:space="0" w:color="auto"/>
              <w:left w:val="single" w:sz="18" w:space="0" w:color="auto"/>
              <w:bottom w:val="single" w:sz="18" w:space="0" w:color="auto"/>
              <w:right w:val="nil"/>
            </w:tcBorders>
          </w:tcPr>
          <w:p w14:paraId="0419B766" w14:textId="77777777" w:rsidR="00003C7A" w:rsidRDefault="00003C7A" w:rsidP="00252594">
            <w:pPr>
              <w:pStyle w:val="NormalWeb"/>
              <w:spacing w:before="0" w:after="0"/>
              <w:rPr>
                <w:sz w:val="16"/>
                <w:szCs w:val="16"/>
              </w:rPr>
            </w:pPr>
          </w:p>
        </w:tc>
        <w:tc>
          <w:tcPr>
            <w:tcW w:w="183" w:type="pct"/>
            <w:tcBorders>
              <w:top w:val="single" w:sz="6" w:space="0" w:color="auto"/>
              <w:left w:val="nil"/>
              <w:bottom w:val="single" w:sz="18" w:space="0" w:color="auto"/>
              <w:right w:val="nil"/>
            </w:tcBorders>
          </w:tcPr>
          <w:p w14:paraId="699D7C06" w14:textId="77777777" w:rsidR="00003C7A" w:rsidRDefault="00003C7A" w:rsidP="00252594">
            <w:pPr>
              <w:pStyle w:val="NormalWeb"/>
              <w:spacing w:before="0" w:after="0"/>
              <w:rPr>
                <w:sz w:val="16"/>
                <w:szCs w:val="16"/>
              </w:rPr>
            </w:pPr>
          </w:p>
        </w:tc>
        <w:tc>
          <w:tcPr>
            <w:tcW w:w="2787" w:type="pct"/>
            <w:tcBorders>
              <w:top w:val="single" w:sz="6" w:space="0" w:color="auto"/>
              <w:left w:val="nil"/>
              <w:bottom w:val="single" w:sz="18" w:space="0" w:color="auto"/>
              <w:right w:val="single" w:sz="18" w:space="0" w:color="auto"/>
            </w:tcBorders>
            <w:vAlign w:val="center"/>
          </w:tcPr>
          <w:p w14:paraId="59ABE651" w14:textId="77777777" w:rsidR="00003C7A" w:rsidRDefault="00003C7A" w:rsidP="00252594">
            <w:pPr>
              <w:pStyle w:val="NormalWeb"/>
              <w:spacing w:before="0" w:after="0"/>
              <w:rPr>
                <w:sz w:val="16"/>
                <w:szCs w:val="16"/>
              </w:rPr>
            </w:pPr>
            <w:r>
              <w:rPr>
                <w:sz w:val="16"/>
                <w:szCs w:val="16"/>
              </w:rPr>
              <w:t>Recette moyenne par kilogrammes hors taxes</w:t>
            </w:r>
          </w:p>
        </w:tc>
        <w:tc>
          <w:tcPr>
            <w:tcW w:w="589" w:type="pct"/>
            <w:tcBorders>
              <w:top w:val="single" w:sz="6" w:space="0" w:color="auto"/>
              <w:left w:val="single" w:sz="6" w:space="0" w:color="auto"/>
              <w:bottom w:val="single" w:sz="18" w:space="0" w:color="auto"/>
              <w:right w:val="single" w:sz="6" w:space="0" w:color="auto"/>
            </w:tcBorders>
          </w:tcPr>
          <w:p w14:paraId="169D9D6D"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18" w:space="0" w:color="auto"/>
              <w:right w:val="single" w:sz="18" w:space="0" w:color="auto"/>
            </w:tcBorders>
          </w:tcPr>
          <w:p w14:paraId="37AD16DF"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06532C4D" w14:textId="77777777" w:rsidR="00003C7A" w:rsidRDefault="00003C7A" w:rsidP="00252594">
            <w:pPr>
              <w:pStyle w:val="NormalWeb"/>
              <w:spacing w:before="0" w:after="0"/>
              <w:rPr>
                <w:sz w:val="16"/>
                <w:szCs w:val="16"/>
              </w:rPr>
            </w:pPr>
          </w:p>
        </w:tc>
      </w:tr>
      <w:tr w:rsidR="00003C7A" w14:paraId="2527ACC4" w14:textId="77777777" w:rsidTr="00003C7A">
        <w:trPr>
          <w:trHeight w:hRule="exact" w:val="284"/>
          <w:jc w:val="center"/>
        </w:trPr>
        <w:tc>
          <w:tcPr>
            <w:tcW w:w="262" w:type="pct"/>
            <w:tcBorders>
              <w:top w:val="single" w:sz="18" w:space="0" w:color="auto"/>
              <w:left w:val="single" w:sz="18" w:space="0" w:color="auto"/>
              <w:bottom w:val="single" w:sz="6" w:space="0" w:color="auto"/>
              <w:right w:val="nil"/>
            </w:tcBorders>
          </w:tcPr>
          <w:p w14:paraId="3F6A7AF3" w14:textId="77777777" w:rsidR="00003C7A" w:rsidRDefault="00003C7A" w:rsidP="00252594">
            <w:pPr>
              <w:pStyle w:val="NormalWeb"/>
              <w:spacing w:before="0" w:after="0"/>
              <w:rPr>
                <w:sz w:val="16"/>
                <w:szCs w:val="16"/>
              </w:rPr>
            </w:pPr>
          </w:p>
        </w:tc>
        <w:tc>
          <w:tcPr>
            <w:tcW w:w="183" w:type="pct"/>
            <w:tcBorders>
              <w:top w:val="single" w:sz="18" w:space="0" w:color="auto"/>
              <w:left w:val="nil"/>
              <w:bottom w:val="single" w:sz="6" w:space="0" w:color="auto"/>
              <w:right w:val="nil"/>
            </w:tcBorders>
          </w:tcPr>
          <w:p w14:paraId="72FB8CD3" w14:textId="77777777" w:rsidR="00003C7A" w:rsidRDefault="00003C7A" w:rsidP="00252594">
            <w:pPr>
              <w:pStyle w:val="NormalWeb"/>
              <w:spacing w:before="0" w:after="0"/>
              <w:rPr>
                <w:sz w:val="16"/>
                <w:szCs w:val="16"/>
              </w:rPr>
            </w:pPr>
          </w:p>
        </w:tc>
        <w:tc>
          <w:tcPr>
            <w:tcW w:w="2787" w:type="pct"/>
            <w:tcBorders>
              <w:top w:val="single" w:sz="18" w:space="0" w:color="auto"/>
              <w:left w:val="nil"/>
              <w:bottom w:val="single" w:sz="6" w:space="0" w:color="auto"/>
              <w:right w:val="single" w:sz="18" w:space="0" w:color="auto"/>
            </w:tcBorders>
            <w:vAlign w:val="center"/>
          </w:tcPr>
          <w:p w14:paraId="37565E9C" w14:textId="77777777" w:rsidR="00003C7A" w:rsidRDefault="00003C7A" w:rsidP="00252594">
            <w:pPr>
              <w:pStyle w:val="NormalWeb"/>
              <w:spacing w:before="0" w:after="0"/>
              <w:rPr>
                <w:sz w:val="16"/>
                <w:szCs w:val="16"/>
              </w:rPr>
            </w:pPr>
            <w:r>
              <w:rPr>
                <w:sz w:val="16"/>
                <w:szCs w:val="16"/>
              </w:rPr>
              <w:t>Poste en kilogrammes sur la période</w:t>
            </w:r>
          </w:p>
        </w:tc>
        <w:tc>
          <w:tcPr>
            <w:tcW w:w="589" w:type="pct"/>
            <w:tcBorders>
              <w:top w:val="single" w:sz="18" w:space="0" w:color="auto"/>
              <w:left w:val="single" w:sz="6" w:space="0" w:color="auto"/>
              <w:bottom w:val="single" w:sz="6" w:space="0" w:color="auto"/>
              <w:right w:val="single" w:sz="6" w:space="0" w:color="auto"/>
            </w:tcBorders>
          </w:tcPr>
          <w:p w14:paraId="2C2780C9" w14:textId="77777777" w:rsidR="00003C7A" w:rsidRDefault="00003C7A" w:rsidP="00252594">
            <w:pPr>
              <w:pStyle w:val="NormalWeb"/>
              <w:spacing w:before="0" w:after="0"/>
            </w:pPr>
          </w:p>
        </w:tc>
        <w:tc>
          <w:tcPr>
            <w:tcW w:w="589" w:type="pct"/>
            <w:tcBorders>
              <w:top w:val="single" w:sz="18" w:space="0" w:color="auto"/>
              <w:left w:val="single" w:sz="6" w:space="0" w:color="auto"/>
              <w:bottom w:val="single" w:sz="6" w:space="0" w:color="auto"/>
              <w:right w:val="single" w:sz="18" w:space="0" w:color="auto"/>
            </w:tcBorders>
          </w:tcPr>
          <w:p w14:paraId="02847138"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2DF82EC9" w14:textId="77777777" w:rsidR="00003C7A" w:rsidRDefault="00003C7A" w:rsidP="00252594">
            <w:pPr>
              <w:pStyle w:val="NormalWeb"/>
              <w:spacing w:before="0" w:after="0"/>
              <w:rPr>
                <w:sz w:val="16"/>
                <w:szCs w:val="16"/>
              </w:rPr>
            </w:pPr>
          </w:p>
        </w:tc>
      </w:tr>
      <w:tr w:rsidR="00003C7A" w14:paraId="0FA899D7"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7E1B9A37" w14:textId="77777777" w:rsidR="00003C7A" w:rsidRDefault="00003C7A" w:rsidP="00252594">
            <w:pPr>
              <w:pStyle w:val="NormalWeb"/>
              <w:spacing w:before="0" w:after="0"/>
              <w:rPr>
                <w:sz w:val="16"/>
                <w:szCs w:val="16"/>
              </w:rPr>
            </w:pPr>
          </w:p>
        </w:tc>
        <w:tc>
          <w:tcPr>
            <w:tcW w:w="183" w:type="pct"/>
            <w:tcBorders>
              <w:top w:val="single" w:sz="6" w:space="0" w:color="auto"/>
              <w:left w:val="nil"/>
              <w:bottom w:val="single" w:sz="6" w:space="0" w:color="auto"/>
              <w:right w:val="nil"/>
            </w:tcBorders>
          </w:tcPr>
          <w:p w14:paraId="03F826F8" w14:textId="77777777" w:rsidR="00003C7A" w:rsidRDefault="00003C7A" w:rsidP="00252594">
            <w:pPr>
              <w:pStyle w:val="NormalWeb"/>
              <w:spacing w:before="0" w:after="0"/>
              <w:rPr>
                <w:sz w:val="16"/>
                <w:szCs w:val="16"/>
              </w:rPr>
            </w:pPr>
          </w:p>
        </w:tc>
        <w:tc>
          <w:tcPr>
            <w:tcW w:w="2787" w:type="pct"/>
            <w:tcBorders>
              <w:top w:val="single" w:sz="6" w:space="0" w:color="auto"/>
              <w:left w:val="nil"/>
              <w:bottom w:val="single" w:sz="6" w:space="0" w:color="auto"/>
              <w:right w:val="single" w:sz="18" w:space="0" w:color="auto"/>
            </w:tcBorders>
            <w:vAlign w:val="center"/>
          </w:tcPr>
          <w:p w14:paraId="61FBBCA7" w14:textId="77777777" w:rsidR="00003C7A" w:rsidRDefault="00003C7A" w:rsidP="00252594">
            <w:pPr>
              <w:pStyle w:val="NormalWeb"/>
              <w:spacing w:before="0" w:after="0"/>
              <w:rPr>
                <w:b/>
                <w:i/>
                <w:sz w:val="16"/>
                <w:szCs w:val="16"/>
              </w:rPr>
            </w:pPr>
            <w:r>
              <w:rPr>
                <w:sz w:val="16"/>
                <w:szCs w:val="16"/>
              </w:rPr>
              <w:t>Tarif de base par kilogramme</w:t>
            </w:r>
          </w:p>
        </w:tc>
        <w:tc>
          <w:tcPr>
            <w:tcW w:w="589" w:type="pct"/>
            <w:tcBorders>
              <w:top w:val="single" w:sz="6" w:space="0" w:color="auto"/>
              <w:left w:val="single" w:sz="6" w:space="0" w:color="auto"/>
              <w:bottom w:val="single" w:sz="6" w:space="0" w:color="auto"/>
              <w:right w:val="single" w:sz="6" w:space="0" w:color="auto"/>
            </w:tcBorders>
          </w:tcPr>
          <w:p w14:paraId="24BD5B94"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0F6F13B0"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3352EF06" w14:textId="77777777" w:rsidR="00003C7A" w:rsidRDefault="00003C7A" w:rsidP="00252594">
            <w:pPr>
              <w:pStyle w:val="NormalWeb"/>
              <w:spacing w:before="0" w:after="0"/>
              <w:rPr>
                <w:sz w:val="16"/>
                <w:szCs w:val="16"/>
              </w:rPr>
            </w:pPr>
          </w:p>
        </w:tc>
      </w:tr>
      <w:tr w:rsidR="00003C7A" w14:paraId="58BD2C77" w14:textId="77777777" w:rsidTr="00003C7A">
        <w:trPr>
          <w:trHeight w:hRule="exact" w:val="284"/>
          <w:jc w:val="center"/>
        </w:trPr>
        <w:tc>
          <w:tcPr>
            <w:tcW w:w="262" w:type="pct"/>
            <w:tcBorders>
              <w:top w:val="single" w:sz="6" w:space="0" w:color="auto"/>
              <w:left w:val="single" w:sz="18" w:space="0" w:color="auto"/>
              <w:bottom w:val="single" w:sz="18" w:space="0" w:color="auto"/>
              <w:right w:val="nil"/>
            </w:tcBorders>
          </w:tcPr>
          <w:p w14:paraId="52228CB8" w14:textId="77777777" w:rsidR="00003C7A" w:rsidRDefault="00003C7A" w:rsidP="00252594">
            <w:pPr>
              <w:pStyle w:val="NormalWeb"/>
              <w:spacing w:before="0" w:after="0"/>
              <w:rPr>
                <w:sz w:val="16"/>
                <w:szCs w:val="16"/>
              </w:rPr>
            </w:pPr>
            <w:r>
              <w:rPr>
                <w:sz w:val="16"/>
                <w:szCs w:val="16"/>
              </w:rPr>
              <w:t>(</w:t>
            </w:r>
            <w:proofErr w:type="gramStart"/>
            <w:r>
              <w:rPr>
                <w:sz w:val="16"/>
                <w:szCs w:val="16"/>
              </w:rPr>
              <w:t>f</w:t>
            </w:r>
            <w:proofErr w:type="gramEnd"/>
            <w:r>
              <w:rPr>
                <w:sz w:val="16"/>
                <w:szCs w:val="16"/>
              </w:rPr>
              <w:t>)</w:t>
            </w:r>
          </w:p>
        </w:tc>
        <w:tc>
          <w:tcPr>
            <w:tcW w:w="183" w:type="pct"/>
            <w:tcBorders>
              <w:top w:val="single" w:sz="6" w:space="0" w:color="auto"/>
              <w:left w:val="nil"/>
              <w:bottom w:val="single" w:sz="18" w:space="0" w:color="auto"/>
              <w:right w:val="nil"/>
            </w:tcBorders>
          </w:tcPr>
          <w:p w14:paraId="127D50DA" w14:textId="77777777" w:rsidR="00003C7A" w:rsidRDefault="00003C7A" w:rsidP="00252594">
            <w:pPr>
              <w:pStyle w:val="NormalWeb"/>
              <w:spacing w:before="0" w:after="0"/>
              <w:rPr>
                <w:sz w:val="16"/>
                <w:szCs w:val="16"/>
              </w:rPr>
            </w:pPr>
          </w:p>
        </w:tc>
        <w:tc>
          <w:tcPr>
            <w:tcW w:w="2787" w:type="pct"/>
            <w:tcBorders>
              <w:top w:val="single" w:sz="6" w:space="0" w:color="auto"/>
              <w:left w:val="nil"/>
              <w:bottom w:val="single" w:sz="18" w:space="0" w:color="auto"/>
              <w:right w:val="single" w:sz="18" w:space="0" w:color="auto"/>
            </w:tcBorders>
            <w:vAlign w:val="center"/>
          </w:tcPr>
          <w:p w14:paraId="6C938526" w14:textId="77777777" w:rsidR="00003C7A" w:rsidRDefault="00003C7A" w:rsidP="00252594">
            <w:pPr>
              <w:pStyle w:val="NormalWeb"/>
              <w:spacing w:before="0" w:after="0"/>
              <w:rPr>
                <w:sz w:val="16"/>
                <w:szCs w:val="16"/>
              </w:rPr>
            </w:pPr>
            <w:r>
              <w:rPr>
                <w:sz w:val="16"/>
                <w:szCs w:val="16"/>
              </w:rPr>
              <w:t>Recette moyenne par kilogrammes hors taxes</w:t>
            </w:r>
          </w:p>
        </w:tc>
        <w:tc>
          <w:tcPr>
            <w:tcW w:w="589" w:type="pct"/>
            <w:tcBorders>
              <w:top w:val="single" w:sz="6" w:space="0" w:color="auto"/>
              <w:left w:val="single" w:sz="6" w:space="0" w:color="auto"/>
              <w:bottom w:val="single" w:sz="18" w:space="0" w:color="auto"/>
              <w:right w:val="single" w:sz="6" w:space="0" w:color="auto"/>
            </w:tcBorders>
          </w:tcPr>
          <w:p w14:paraId="17238546"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18" w:space="0" w:color="auto"/>
              <w:right w:val="single" w:sz="18" w:space="0" w:color="auto"/>
            </w:tcBorders>
          </w:tcPr>
          <w:p w14:paraId="48BC819B"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02C4F379" w14:textId="77777777" w:rsidR="00003C7A" w:rsidRDefault="00003C7A" w:rsidP="00252594">
            <w:pPr>
              <w:pStyle w:val="NormalWeb"/>
              <w:spacing w:before="0" w:after="0"/>
              <w:rPr>
                <w:sz w:val="16"/>
                <w:szCs w:val="16"/>
              </w:rPr>
            </w:pPr>
          </w:p>
        </w:tc>
      </w:tr>
      <w:tr w:rsidR="00003C7A" w14:paraId="28E55C33" w14:textId="77777777" w:rsidTr="00003C7A">
        <w:trPr>
          <w:trHeight w:hRule="exact" w:val="170"/>
          <w:jc w:val="center"/>
        </w:trPr>
        <w:tc>
          <w:tcPr>
            <w:tcW w:w="262" w:type="pct"/>
            <w:tcBorders>
              <w:top w:val="single" w:sz="18" w:space="0" w:color="auto"/>
              <w:left w:val="nil"/>
              <w:bottom w:val="single" w:sz="18" w:space="0" w:color="auto"/>
              <w:right w:val="nil"/>
            </w:tcBorders>
          </w:tcPr>
          <w:p w14:paraId="6C5FC452" w14:textId="77777777" w:rsidR="00003C7A" w:rsidRDefault="00003C7A" w:rsidP="00252594">
            <w:pPr>
              <w:pStyle w:val="NormalWeb"/>
              <w:spacing w:before="0" w:after="0"/>
              <w:rPr>
                <w:sz w:val="16"/>
                <w:szCs w:val="16"/>
              </w:rPr>
            </w:pPr>
          </w:p>
        </w:tc>
        <w:tc>
          <w:tcPr>
            <w:tcW w:w="183" w:type="pct"/>
            <w:tcBorders>
              <w:top w:val="single" w:sz="18" w:space="0" w:color="auto"/>
              <w:left w:val="nil"/>
              <w:bottom w:val="single" w:sz="18" w:space="0" w:color="auto"/>
              <w:right w:val="nil"/>
            </w:tcBorders>
          </w:tcPr>
          <w:p w14:paraId="30FB6EA2" w14:textId="77777777" w:rsidR="00003C7A" w:rsidRDefault="00003C7A" w:rsidP="00252594">
            <w:pPr>
              <w:pStyle w:val="NormalWeb"/>
              <w:spacing w:before="0" w:after="0"/>
              <w:rPr>
                <w:sz w:val="16"/>
                <w:szCs w:val="16"/>
              </w:rPr>
            </w:pPr>
          </w:p>
        </w:tc>
        <w:tc>
          <w:tcPr>
            <w:tcW w:w="2787" w:type="pct"/>
            <w:tcBorders>
              <w:top w:val="single" w:sz="18" w:space="0" w:color="auto"/>
              <w:left w:val="nil"/>
              <w:bottom w:val="single" w:sz="18" w:space="0" w:color="auto"/>
              <w:right w:val="nil"/>
            </w:tcBorders>
            <w:vAlign w:val="center"/>
          </w:tcPr>
          <w:p w14:paraId="38D0059C" w14:textId="77777777" w:rsidR="00003C7A" w:rsidRDefault="00003C7A" w:rsidP="00252594">
            <w:pPr>
              <w:pStyle w:val="NormalWeb"/>
              <w:spacing w:before="0" w:after="0"/>
              <w:rPr>
                <w:b/>
                <w:sz w:val="16"/>
                <w:szCs w:val="16"/>
              </w:rPr>
            </w:pPr>
          </w:p>
        </w:tc>
        <w:tc>
          <w:tcPr>
            <w:tcW w:w="589" w:type="pct"/>
            <w:tcBorders>
              <w:top w:val="single" w:sz="18" w:space="0" w:color="auto"/>
              <w:left w:val="nil"/>
              <w:bottom w:val="nil"/>
              <w:right w:val="nil"/>
            </w:tcBorders>
          </w:tcPr>
          <w:p w14:paraId="3E4FBBC7" w14:textId="77777777" w:rsidR="00003C7A" w:rsidRDefault="00003C7A" w:rsidP="00252594">
            <w:pPr>
              <w:pStyle w:val="NormalWeb"/>
              <w:spacing w:before="0" w:after="0"/>
            </w:pPr>
          </w:p>
        </w:tc>
        <w:tc>
          <w:tcPr>
            <w:tcW w:w="589" w:type="pct"/>
            <w:tcBorders>
              <w:top w:val="single" w:sz="18" w:space="0" w:color="auto"/>
              <w:left w:val="nil"/>
              <w:bottom w:val="nil"/>
              <w:right w:val="nil"/>
            </w:tcBorders>
          </w:tcPr>
          <w:p w14:paraId="13E386D4" w14:textId="77777777" w:rsidR="00003C7A" w:rsidRDefault="00003C7A" w:rsidP="00252594">
            <w:pPr>
              <w:pStyle w:val="NormalWeb"/>
              <w:spacing w:before="0" w:after="0"/>
              <w:rPr>
                <w:sz w:val="16"/>
                <w:szCs w:val="16"/>
              </w:rPr>
            </w:pPr>
          </w:p>
        </w:tc>
        <w:tc>
          <w:tcPr>
            <w:tcW w:w="590" w:type="pct"/>
            <w:tcBorders>
              <w:top w:val="nil"/>
              <w:left w:val="nil"/>
              <w:bottom w:val="single" w:sz="18" w:space="0" w:color="auto"/>
              <w:right w:val="nil"/>
            </w:tcBorders>
          </w:tcPr>
          <w:p w14:paraId="1AB83C13" w14:textId="77777777" w:rsidR="00003C7A" w:rsidRDefault="00003C7A" w:rsidP="00252594">
            <w:pPr>
              <w:pStyle w:val="NormalWeb"/>
              <w:spacing w:before="0" w:after="0"/>
              <w:rPr>
                <w:sz w:val="16"/>
                <w:szCs w:val="16"/>
              </w:rPr>
            </w:pPr>
          </w:p>
        </w:tc>
      </w:tr>
      <w:tr w:rsidR="00003C7A" w14:paraId="6EF63F8C" w14:textId="77777777" w:rsidTr="00003C7A">
        <w:trPr>
          <w:trHeight w:hRule="exact" w:val="284"/>
          <w:jc w:val="center"/>
        </w:trPr>
        <w:tc>
          <w:tcPr>
            <w:tcW w:w="262" w:type="pct"/>
            <w:tcBorders>
              <w:top w:val="single" w:sz="18" w:space="0" w:color="auto"/>
              <w:left w:val="single" w:sz="18" w:space="0" w:color="auto"/>
              <w:bottom w:val="single" w:sz="18" w:space="0" w:color="auto"/>
              <w:right w:val="nil"/>
            </w:tcBorders>
          </w:tcPr>
          <w:p w14:paraId="020EEC52" w14:textId="77777777" w:rsidR="00003C7A" w:rsidRDefault="00003C7A" w:rsidP="00252594">
            <w:pPr>
              <w:pStyle w:val="NormalWeb"/>
              <w:spacing w:before="0" w:after="0"/>
              <w:jc w:val="center"/>
              <w:rPr>
                <w:b/>
                <w:i/>
                <w:sz w:val="16"/>
                <w:szCs w:val="16"/>
              </w:rPr>
            </w:pPr>
          </w:p>
        </w:tc>
        <w:tc>
          <w:tcPr>
            <w:tcW w:w="183" w:type="pct"/>
            <w:tcBorders>
              <w:top w:val="single" w:sz="18" w:space="0" w:color="auto"/>
              <w:left w:val="nil"/>
              <w:bottom w:val="single" w:sz="18" w:space="0" w:color="auto"/>
              <w:right w:val="nil"/>
            </w:tcBorders>
          </w:tcPr>
          <w:p w14:paraId="118CA676" w14:textId="77777777" w:rsidR="00003C7A" w:rsidRDefault="00003C7A" w:rsidP="00252594">
            <w:pPr>
              <w:pStyle w:val="NormalWeb"/>
              <w:spacing w:before="0" w:after="0"/>
              <w:jc w:val="center"/>
              <w:rPr>
                <w:b/>
                <w:i/>
                <w:sz w:val="16"/>
                <w:szCs w:val="16"/>
              </w:rPr>
            </w:pPr>
          </w:p>
        </w:tc>
        <w:tc>
          <w:tcPr>
            <w:tcW w:w="2787" w:type="pct"/>
            <w:tcBorders>
              <w:top w:val="single" w:sz="18" w:space="0" w:color="auto"/>
              <w:left w:val="nil"/>
              <w:bottom w:val="single" w:sz="18" w:space="0" w:color="auto"/>
              <w:right w:val="single" w:sz="18" w:space="0" w:color="auto"/>
            </w:tcBorders>
            <w:vAlign w:val="center"/>
          </w:tcPr>
          <w:p w14:paraId="5BDAB7D6" w14:textId="77777777" w:rsidR="00003C7A" w:rsidRDefault="00003C7A" w:rsidP="00252594">
            <w:pPr>
              <w:pStyle w:val="NormalWeb"/>
              <w:spacing w:before="0" w:after="0"/>
              <w:rPr>
                <w:b/>
                <w:smallCaps/>
                <w:sz w:val="16"/>
                <w:szCs w:val="16"/>
              </w:rPr>
            </w:pPr>
            <w:r>
              <w:rPr>
                <w:b/>
                <w:smallCaps/>
                <w:sz w:val="16"/>
                <w:szCs w:val="16"/>
              </w:rPr>
              <w:t>Produits annuels hors taxes</w:t>
            </w:r>
          </w:p>
        </w:tc>
        <w:tc>
          <w:tcPr>
            <w:tcW w:w="589" w:type="pct"/>
            <w:tcBorders>
              <w:top w:val="nil"/>
              <w:left w:val="nil"/>
              <w:bottom w:val="single" w:sz="18" w:space="0" w:color="auto"/>
              <w:right w:val="nil"/>
            </w:tcBorders>
          </w:tcPr>
          <w:p w14:paraId="4955CF55" w14:textId="77777777" w:rsidR="00003C7A" w:rsidRDefault="00003C7A" w:rsidP="00252594">
            <w:pPr>
              <w:pStyle w:val="NormalWeb"/>
              <w:spacing w:before="0" w:after="0"/>
            </w:pPr>
          </w:p>
        </w:tc>
        <w:tc>
          <w:tcPr>
            <w:tcW w:w="589" w:type="pct"/>
            <w:tcBorders>
              <w:top w:val="nil"/>
              <w:left w:val="nil"/>
              <w:bottom w:val="single" w:sz="18" w:space="0" w:color="auto"/>
              <w:right w:val="single" w:sz="18" w:space="0" w:color="auto"/>
            </w:tcBorders>
          </w:tcPr>
          <w:p w14:paraId="7BFFBE07" w14:textId="77777777" w:rsidR="00003C7A" w:rsidRDefault="00003C7A" w:rsidP="00252594">
            <w:pPr>
              <w:pStyle w:val="NormalWeb"/>
              <w:spacing w:before="0" w:after="0"/>
              <w:rPr>
                <w:sz w:val="16"/>
                <w:szCs w:val="16"/>
              </w:rPr>
            </w:pPr>
          </w:p>
        </w:tc>
        <w:tc>
          <w:tcPr>
            <w:tcW w:w="590" w:type="pct"/>
            <w:tcBorders>
              <w:top w:val="single" w:sz="18" w:space="0" w:color="auto"/>
              <w:left w:val="single" w:sz="18" w:space="0" w:color="auto"/>
              <w:bottom w:val="single" w:sz="18" w:space="0" w:color="auto"/>
              <w:right w:val="single" w:sz="18" w:space="0" w:color="auto"/>
            </w:tcBorders>
            <w:vAlign w:val="center"/>
          </w:tcPr>
          <w:p w14:paraId="1D29FDB1" w14:textId="77777777" w:rsidR="00003C7A" w:rsidRDefault="00003C7A" w:rsidP="00252594">
            <w:pPr>
              <w:pStyle w:val="NormalWeb"/>
              <w:spacing w:before="0" w:after="0"/>
              <w:jc w:val="center"/>
              <w:rPr>
                <w:sz w:val="16"/>
                <w:szCs w:val="16"/>
              </w:rPr>
            </w:pPr>
            <w:r>
              <w:rPr>
                <w:sz w:val="16"/>
                <w:szCs w:val="16"/>
              </w:rPr>
              <w:t>Total</w:t>
            </w:r>
          </w:p>
        </w:tc>
      </w:tr>
      <w:tr w:rsidR="00003C7A" w14:paraId="4173AC4F" w14:textId="77777777" w:rsidTr="00003C7A">
        <w:trPr>
          <w:trHeight w:hRule="exact" w:val="284"/>
          <w:jc w:val="center"/>
        </w:trPr>
        <w:tc>
          <w:tcPr>
            <w:tcW w:w="262" w:type="pct"/>
            <w:tcBorders>
              <w:top w:val="single" w:sz="18" w:space="0" w:color="auto"/>
              <w:left w:val="single" w:sz="18" w:space="0" w:color="auto"/>
              <w:bottom w:val="single" w:sz="6" w:space="0" w:color="auto"/>
              <w:right w:val="nil"/>
            </w:tcBorders>
          </w:tcPr>
          <w:p w14:paraId="77F0CC4D" w14:textId="77777777" w:rsidR="00003C7A" w:rsidRDefault="00003C7A" w:rsidP="00252594">
            <w:pPr>
              <w:pStyle w:val="NormalWeb"/>
              <w:spacing w:before="0" w:after="0"/>
              <w:jc w:val="center"/>
              <w:rPr>
                <w:sz w:val="16"/>
                <w:szCs w:val="16"/>
              </w:rPr>
            </w:pPr>
          </w:p>
        </w:tc>
        <w:tc>
          <w:tcPr>
            <w:tcW w:w="183" w:type="pct"/>
            <w:tcBorders>
              <w:top w:val="single" w:sz="18" w:space="0" w:color="auto"/>
              <w:left w:val="nil"/>
              <w:bottom w:val="single" w:sz="6" w:space="0" w:color="auto"/>
              <w:right w:val="nil"/>
            </w:tcBorders>
          </w:tcPr>
          <w:p w14:paraId="6BDA9C48" w14:textId="77777777" w:rsidR="00003C7A" w:rsidRDefault="00003C7A" w:rsidP="00252594">
            <w:pPr>
              <w:pStyle w:val="NormalWeb"/>
              <w:spacing w:before="0" w:after="0"/>
              <w:jc w:val="center"/>
              <w:rPr>
                <w:sz w:val="16"/>
                <w:szCs w:val="16"/>
              </w:rPr>
            </w:pPr>
          </w:p>
        </w:tc>
        <w:tc>
          <w:tcPr>
            <w:tcW w:w="2787" w:type="pct"/>
            <w:tcBorders>
              <w:top w:val="single" w:sz="18" w:space="0" w:color="auto"/>
              <w:left w:val="nil"/>
              <w:bottom w:val="single" w:sz="6" w:space="0" w:color="auto"/>
              <w:right w:val="single" w:sz="18" w:space="0" w:color="auto"/>
            </w:tcBorders>
            <w:vAlign w:val="center"/>
          </w:tcPr>
          <w:p w14:paraId="3CAA6F2A" w14:textId="77777777" w:rsidR="00003C7A" w:rsidRDefault="00003C7A" w:rsidP="00252594">
            <w:pPr>
              <w:pStyle w:val="NormalWeb"/>
              <w:spacing w:before="0" w:after="0"/>
              <w:rPr>
                <w:sz w:val="16"/>
                <w:szCs w:val="16"/>
              </w:rPr>
            </w:pPr>
            <w:r>
              <w:rPr>
                <w:sz w:val="16"/>
                <w:szCs w:val="16"/>
              </w:rPr>
              <w:t>Passagers</w:t>
            </w:r>
          </w:p>
        </w:tc>
        <w:tc>
          <w:tcPr>
            <w:tcW w:w="589" w:type="pct"/>
            <w:tcBorders>
              <w:top w:val="single" w:sz="18" w:space="0" w:color="auto"/>
              <w:left w:val="single" w:sz="6" w:space="0" w:color="auto"/>
              <w:bottom w:val="single" w:sz="6" w:space="0" w:color="auto"/>
              <w:right w:val="single" w:sz="6" w:space="0" w:color="auto"/>
            </w:tcBorders>
          </w:tcPr>
          <w:p w14:paraId="114C917A" w14:textId="77777777" w:rsidR="00003C7A" w:rsidRDefault="00003C7A" w:rsidP="00252594">
            <w:pPr>
              <w:pStyle w:val="NormalWeb"/>
              <w:spacing w:before="0" w:after="0"/>
            </w:pPr>
          </w:p>
        </w:tc>
        <w:tc>
          <w:tcPr>
            <w:tcW w:w="589" w:type="pct"/>
            <w:tcBorders>
              <w:top w:val="single" w:sz="18" w:space="0" w:color="auto"/>
              <w:left w:val="single" w:sz="6" w:space="0" w:color="auto"/>
              <w:bottom w:val="single" w:sz="6" w:space="0" w:color="auto"/>
              <w:right w:val="single" w:sz="18" w:space="0" w:color="auto"/>
            </w:tcBorders>
          </w:tcPr>
          <w:p w14:paraId="4175C1F9" w14:textId="77777777" w:rsidR="00003C7A" w:rsidRDefault="00003C7A" w:rsidP="00252594">
            <w:pPr>
              <w:pStyle w:val="NormalWeb"/>
              <w:spacing w:before="0" w:after="0"/>
              <w:rPr>
                <w:sz w:val="16"/>
                <w:szCs w:val="16"/>
              </w:rPr>
            </w:pPr>
          </w:p>
        </w:tc>
        <w:tc>
          <w:tcPr>
            <w:tcW w:w="590" w:type="pct"/>
            <w:tcBorders>
              <w:top w:val="single" w:sz="18" w:space="0" w:color="auto"/>
              <w:left w:val="single" w:sz="6" w:space="0" w:color="auto"/>
              <w:bottom w:val="single" w:sz="6" w:space="0" w:color="auto"/>
              <w:right w:val="single" w:sz="18" w:space="0" w:color="auto"/>
            </w:tcBorders>
          </w:tcPr>
          <w:p w14:paraId="5D9F4054" w14:textId="77777777" w:rsidR="00003C7A" w:rsidRDefault="00003C7A" w:rsidP="00252594">
            <w:pPr>
              <w:pStyle w:val="NormalWeb"/>
              <w:spacing w:before="0" w:after="0"/>
              <w:rPr>
                <w:sz w:val="16"/>
                <w:szCs w:val="16"/>
              </w:rPr>
            </w:pPr>
          </w:p>
        </w:tc>
      </w:tr>
      <w:tr w:rsidR="00003C7A" w14:paraId="5736B6AA"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0DA62BB8" w14:textId="77777777" w:rsidR="00003C7A" w:rsidRDefault="00003C7A" w:rsidP="00252594">
            <w:pPr>
              <w:pStyle w:val="NormalWeb"/>
              <w:spacing w:before="0" w:after="0"/>
              <w:jc w:val="center"/>
              <w:rPr>
                <w:sz w:val="16"/>
                <w:szCs w:val="16"/>
              </w:rPr>
            </w:pPr>
          </w:p>
        </w:tc>
        <w:tc>
          <w:tcPr>
            <w:tcW w:w="183" w:type="pct"/>
            <w:tcBorders>
              <w:top w:val="single" w:sz="6" w:space="0" w:color="auto"/>
              <w:left w:val="nil"/>
              <w:bottom w:val="single" w:sz="6" w:space="0" w:color="auto"/>
              <w:right w:val="nil"/>
            </w:tcBorders>
          </w:tcPr>
          <w:p w14:paraId="3AE7DD3A" w14:textId="77777777" w:rsidR="00003C7A" w:rsidRDefault="00003C7A" w:rsidP="00252594">
            <w:pPr>
              <w:pStyle w:val="NormalWeb"/>
              <w:spacing w:before="0" w:after="0"/>
              <w:jc w:val="center"/>
              <w:rPr>
                <w:sz w:val="16"/>
                <w:szCs w:val="16"/>
              </w:rPr>
            </w:pPr>
            <w:r>
              <w:rPr>
                <w:sz w:val="16"/>
                <w:szCs w:val="16"/>
              </w:rPr>
              <w:t>+</w:t>
            </w:r>
          </w:p>
        </w:tc>
        <w:tc>
          <w:tcPr>
            <w:tcW w:w="2787" w:type="pct"/>
            <w:tcBorders>
              <w:top w:val="single" w:sz="6" w:space="0" w:color="auto"/>
              <w:left w:val="nil"/>
              <w:bottom w:val="single" w:sz="6" w:space="0" w:color="auto"/>
              <w:right w:val="single" w:sz="18" w:space="0" w:color="auto"/>
            </w:tcBorders>
            <w:vAlign w:val="center"/>
          </w:tcPr>
          <w:p w14:paraId="6C1EDA6D" w14:textId="77777777" w:rsidR="00003C7A" w:rsidRDefault="00003C7A" w:rsidP="00252594">
            <w:pPr>
              <w:pStyle w:val="NormalWeb"/>
              <w:spacing w:before="0" w:after="0"/>
              <w:rPr>
                <w:sz w:val="16"/>
                <w:szCs w:val="16"/>
              </w:rPr>
            </w:pPr>
            <w:r>
              <w:rPr>
                <w:sz w:val="16"/>
                <w:szCs w:val="16"/>
              </w:rPr>
              <w:t>Fret</w:t>
            </w:r>
          </w:p>
        </w:tc>
        <w:tc>
          <w:tcPr>
            <w:tcW w:w="589" w:type="pct"/>
            <w:tcBorders>
              <w:top w:val="single" w:sz="6" w:space="0" w:color="auto"/>
              <w:left w:val="single" w:sz="6" w:space="0" w:color="auto"/>
              <w:bottom w:val="single" w:sz="6" w:space="0" w:color="auto"/>
              <w:right w:val="single" w:sz="6" w:space="0" w:color="auto"/>
            </w:tcBorders>
          </w:tcPr>
          <w:p w14:paraId="1E40F061"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3C5288BD" w14:textId="77777777" w:rsidR="00003C7A" w:rsidRDefault="00003C7A" w:rsidP="00252594">
            <w:pPr>
              <w:pStyle w:val="NormalWeb"/>
              <w:spacing w:before="0" w:after="0"/>
              <w:rPr>
                <w:sz w:val="16"/>
                <w:szCs w:val="16"/>
              </w:rPr>
            </w:pPr>
          </w:p>
        </w:tc>
        <w:tc>
          <w:tcPr>
            <w:tcW w:w="590" w:type="pct"/>
            <w:tcBorders>
              <w:top w:val="single" w:sz="6" w:space="0" w:color="auto"/>
              <w:left w:val="single" w:sz="6" w:space="0" w:color="auto"/>
              <w:bottom w:val="single" w:sz="6" w:space="0" w:color="auto"/>
              <w:right w:val="single" w:sz="18" w:space="0" w:color="auto"/>
            </w:tcBorders>
          </w:tcPr>
          <w:p w14:paraId="455489C9" w14:textId="77777777" w:rsidR="00003C7A" w:rsidRDefault="00003C7A" w:rsidP="00252594">
            <w:pPr>
              <w:pStyle w:val="NormalWeb"/>
              <w:spacing w:before="0" w:after="0"/>
              <w:rPr>
                <w:sz w:val="16"/>
                <w:szCs w:val="16"/>
              </w:rPr>
            </w:pPr>
          </w:p>
        </w:tc>
      </w:tr>
      <w:tr w:rsidR="00003C7A" w14:paraId="7A4F9F30"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690A7F02" w14:textId="77777777" w:rsidR="00003C7A" w:rsidRDefault="00003C7A" w:rsidP="00252594">
            <w:pPr>
              <w:pStyle w:val="NormalWeb"/>
              <w:spacing w:before="0" w:after="0"/>
              <w:jc w:val="center"/>
              <w:rPr>
                <w:sz w:val="16"/>
                <w:szCs w:val="16"/>
              </w:rPr>
            </w:pPr>
          </w:p>
        </w:tc>
        <w:tc>
          <w:tcPr>
            <w:tcW w:w="183" w:type="pct"/>
            <w:tcBorders>
              <w:top w:val="single" w:sz="6" w:space="0" w:color="auto"/>
              <w:left w:val="nil"/>
              <w:bottom w:val="single" w:sz="6" w:space="0" w:color="auto"/>
              <w:right w:val="nil"/>
            </w:tcBorders>
          </w:tcPr>
          <w:p w14:paraId="52B7551B" w14:textId="77777777" w:rsidR="00003C7A" w:rsidRDefault="00003C7A" w:rsidP="00252594">
            <w:pPr>
              <w:pStyle w:val="NormalWeb"/>
              <w:spacing w:before="0" w:after="0"/>
              <w:jc w:val="center"/>
              <w:rPr>
                <w:sz w:val="16"/>
                <w:szCs w:val="16"/>
              </w:rPr>
            </w:pPr>
            <w:r>
              <w:rPr>
                <w:sz w:val="16"/>
                <w:szCs w:val="16"/>
              </w:rPr>
              <w:t>+</w:t>
            </w:r>
          </w:p>
        </w:tc>
        <w:tc>
          <w:tcPr>
            <w:tcW w:w="2787" w:type="pct"/>
            <w:tcBorders>
              <w:top w:val="single" w:sz="6" w:space="0" w:color="auto"/>
              <w:left w:val="nil"/>
              <w:bottom w:val="single" w:sz="6" w:space="0" w:color="auto"/>
              <w:right w:val="single" w:sz="18" w:space="0" w:color="auto"/>
            </w:tcBorders>
            <w:vAlign w:val="center"/>
          </w:tcPr>
          <w:p w14:paraId="5E48BD6E" w14:textId="77777777" w:rsidR="00003C7A" w:rsidRDefault="00003C7A" w:rsidP="00252594">
            <w:pPr>
              <w:pStyle w:val="NormalWeb"/>
              <w:spacing w:before="0" w:after="0"/>
              <w:ind w:left="-726"/>
              <w:rPr>
                <w:sz w:val="16"/>
                <w:szCs w:val="16"/>
              </w:rPr>
            </w:pPr>
            <w:proofErr w:type="spellStart"/>
            <w:r>
              <w:rPr>
                <w:sz w:val="16"/>
                <w:szCs w:val="16"/>
              </w:rPr>
              <w:t>PPoste</w:t>
            </w:r>
            <w:proofErr w:type="spellEnd"/>
            <w:r>
              <w:rPr>
                <w:sz w:val="16"/>
                <w:szCs w:val="16"/>
              </w:rPr>
              <w:t xml:space="preserve">    Poste</w:t>
            </w:r>
          </w:p>
        </w:tc>
        <w:tc>
          <w:tcPr>
            <w:tcW w:w="589" w:type="pct"/>
            <w:tcBorders>
              <w:top w:val="single" w:sz="6" w:space="0" w:color="auto"/>
              <w:left w:val="single" w:sz="6" w:space="0" w:color="auto"/>
              <w:bottom w:val="single" w:sz="6" w:space="0" w:color="auto"/>
              <w:right w:val="single" w:sz="6" w:space="0" w:color="auto"/>
            </w:tcBorders>
          </w:tcPr>
          <w:p w14:paraId="0FA632A9"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75F243E6" w14:textId="77777777" w:rsidR="00003C7A" w:rsidRDefault="00003C7A" w:rsidP="00252594">
            <w:pPr>
              <w:pStyle w:val="NormalWeb"/>
              <w:spacing w:before="0" w:after="0"/>
              <w:rPr>
                <w:sz w:val="16"/>
                <w:szCs w:val="16"/>
              </w:rPr>
            </w:pPr>
          </w:p>
        </w:tc>
        <w:tc>
          <w:tcPr>
            <w:tcW w:w="590" w:type="pct"/>
            <w:tcBorders>
              <w:top w:val="single" w:sz="6" w:space="0" w:color="auto"/>
              <w:left w:val="single" w:sz="6" w:space="0" w:color="auto"/>
              <w:bottom w:val="single" w:sz="6" w:space="0" w:color="auto"/>
              <w:right w:val="single" w:sz="18" w:space="0" w:color="auto"/>
            </w:tcBorders>
          </w:tcPr>
          <w:p w14:paraId="6A23CBD5" w14:textId="77777777" w:rsidR="00003C7A" w:rsidRDefault="00003C7A" w:rsidP="00252594">
            <w:pPr>
              <w:pStyle w:val="NormalWeb"/>
              <w:spacing w:before="0" w:after="0"/>
              <w:rPr>
                <w:sz w:val="16"/>
                <w:szCs w:val="16"/>
              </w:rPr>
            </w:pPr>
          </w:p>
        </w:tc>
      </w:tr>
      <w:tr w:rsidR="00003C7A" w14:paraId="69E0D32B"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5B9AFB75" w14:textId="77777777" w:rsidR="00003C7A" w:rsidRDefault="00003C7A" w:rsidP="00252594">
            <w:pPr>
              <w:pStyle w:val="NormalWeb"/>
              <w:spacing w:before="0" w:after="0"/>
              <w:jc w:val="center"/>
              <w:rPr>
                <w:sz w:val="16"/>
                <w:szCs w:val="16"/>
              </w:rPr>
            </w:pPr>
          </w:p>
        </w:tc>
        <w:tc>
          <w:tcPr>
            <w:tcW w:w="183" w:type="pct"/>
            <w:tcBorders>
              <w:top w:val="single" w:sz="6" w:space="0" w:color="auto"/>
              <w:left w:val="nil"/>
              <w:bottom w:val="single" w:sz="6" w:space="0" w:color="auto"/>
              <w:right w:val="nil"/>
            </w:tcBorders>
          </w:tcPr>
          <w:p w14:paraId="63AD9DA1" w14:textId="77777777" w:rsidR="00003C7A" w:rsidRDefault="00003C7A" w:rsidP="00252594">
            <w:pPr>
              <w:pStyle w:val="NormalWeb"/>
              <w:spacing w:before="0" w:after="0"/>
              <w:jc w:val="center"/>
              <w:rPr>
                <w:sz w:val="16"/>
                <w:szCs w:val="16"/>
              </w:rPr>
            </w:pPr>
            <w:r>
              <w:rPr>
                <w:sz w:val="16"/>
                <w:szCs w:val="16"/>
              </w:rPr>
              <w:t>+</w:t>
            </w:r>
          </w:p>
        </w:tc>
        <w:tc>
          <w:tcPr>
            <w:tcW w:w="2787" w:type="pct"/>
            <w:tcBorders>
              <w:top w:val="single" w:sz="6" w:space="0" w:color="auto"/>
              <w:left w:val="nil"/>
              <w:bottom w:val="single" w:sz="6" w:space="0" w:color="auto"/>
              <w:right w:val="single" w:sz="18" w:space="0" w:color="auto"/>
            </w:tcBorders>
            <w:vAlign w:val="center"/>
          </w:tcPr>
          <w:p w14:paraId="1685196F" w14:textId="77777777" w:rsidR="00003C7A" w:rsidRDefault="00003C7A" w:rsidP="00252594">
            <w:pPr>
              <w:pStyle w:val="NormalWeb"/>
              <w:spacing w:before="0" w:after="0"/>
              <w:rPr>
                <w:sz w:val="16"/>
                <w:szCs w:val="16"/>
              </w:rPr>
            </w:pPr>
            <w:r>
              <w:rPr>
                <w:sz w:val="16"/>
                <w:szCs w:val="16"/>
              </w:rPr>
              <w:t>Autres</w:t>
            </w:r>
          </w:p>
        </w:tc>
        <w:tc>
          <w:tcPr>
            <w:tcW w:w="589" w:type="pct"/>
            <w:tcBorders>
              <w:top w:val="single" w:sz="6" w:space="0" w:color="auto"/>
              <w:left w:val="single" w:sz="6" w:space="0" w:color="auto"/>
              <w:bottom w:val="single" w:sz="6" w:space="0" w:color="auto"/>
              <w:right w:val="single" w:sz="6" w:space="0" w:color="auto"/>
            </w:tcBorders>
          </w:tcPr>
          <w:p w14:paraId="6A893392"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2C8C580F" w14:textId="77777777" w:rsidR="00003C7A" w:rsidRDefault="00003C7A" w:rsidP="00252594">
            <w:pPr>
              <w:pStyle w:val="NormalWeb"/>
              <w:spacing w:before="0" w:after="0"/>
              <w:rPr>
                <w:sz w:val="16"/>
                <w:szCs w:val="16"/>
              </w:rPr>
            </w:pPr>
          </w:p>
        </w:tc>
        <w:tc>
          <w:tcPr>
            <w:tcW w:w="590" w:type="pct"/>
            <w:tcBorders>
              <w:top w:val="single" w:sz="6" w:space="0" w:color="auto"/>
              <w:left w:val="single" w:sz="6" w:space="0" w:color="auto"/>
              <w:bottom w:val="single" w:sz="6" w:space="0" w:color="auto"/>
              <w:right w:val="single" w:sz="18" w:space="0" w:color="auto"/>
            </w:tcBorders>
          </w:tcPr>
          <w:p w14:paraId="1F1B0022" w14:textId="77777777" w:rsidR="00003C7A" w:rsidRDefault="00003C7A" w:rsidP="00252594">
            <w:pPr>
              <w:pStyle w:val="NormalWeb"/>
              <w:spacing w:before="0" w:after="0"/>
              <w:rPr>
                <w:sz w:val="16"/>
                <w:szCs w:val="16"/>
              </w:rPr>
            </w:pPr>
          </w:p>
        </w:tc>
      </w:tr>
      <w:tr w:rsidR="00003C7A" w14:paraId="55100FD8"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71120903" w14:textId="77777777" w:rsidR="00003C7A" w:rsidRDefault="00003C7A" w:rsidP="00252594">
            <w:pPr>
              <w:pStyle w:val="NormalWeb"/>
              <w:spacing w:before="0" w:after="0"/>
              <w:jc w:val="center"/>
              <w:rPr>
                <w:sz w:val="16"/>
                <w:szCs w:val="16"/>
              </w:rPr>
            </w:pPr>
            <w:r>
              <w:rPr>
                <w:sz w:val="16"/>
                <w:szCs w:val="16"/>
              </w:rPr>
              <w:t>(</w:t>
            </w:r>
            <w:proofErr w:type="gramStart"/>
            <w:r>
              <w:rPr>
                <w:sz w:val="16"/>
                <w:szCs w:val="16"/>
              </w:rPr>
              <w:t>e</w:t>
            </w:r>
            <w:proofErr w:type="gramEnd"/>
            <w:r>
              <w:rPr>
                <w:sz w:val="16"/>
                <w:szCs w:val="16"/>
              </w:rPr>
              <w:t>)</w:t>
            </w:r>
          </w:p>
        </w:tc>
        <w:tc>
          <w:tcPr>
            <w:tcW w:w="183" w:type="pct"/>
            <w:tcBorders>
              <w:top w:val="single" w:sz="6" w:space="0" w:color="auto"/>
              <w:left w:val="nil"/>
              <w:bottom w:val="single" w:sz="6" w:space="0" w:color="auto"/>
              <w:right w:val="nil"/>
            </w:tcBorders>
          </w:tcPr>
          <w:p w14:paraId="5BF0A39C" w14:textId="77777777" w:rsidR="00003C7A" w:rsidRDefault="00003C7A" w:rsidP="00252594">
            <w:pPr>
              <w:pStyle w:val="NormalWeb"/>
              <w:spacing w:before="0" w:after="0"/>
              <w:jc w:val="center"/>
              <w:rPr>
                <w:sz w:val="16"/>
                <w:szCs w:val="16"/>
              </w:rPr>
            </w:pPr>
            <w:r>
              <w:rPr>
                <w:sz w:val="16"/>
                <w:szCs w:val="16"/>
              </w:rPr>
              <w:t>=</w:t>
            </w:r>
          </w:p>
        </w:tc>
        <w:tc>
          <w:tcPr>
            <w:tcW w:w="2787" w:type="pct"/>
            <w:tcBorders>
              <w:top w:val="single" w:sz="6" w:space="0" w:color="auto"/>
              <w:left w:val="nil"/>
              <w:bottom w:val="single" w:sz="6" w:space="0" w:color="auto"/>
              <w:right w:val="single" w:sz="18" w:space="0" w:color="auto"/>
            </w:tcBorders>
            <w:vAlign w:val="center"/>
          </w:tcPr>
          <w:p w14:paraId="39C18AB0" w14:textId="77777777" w:rsidR="00003C7A" w:rsidRDefault="00003C7A" w:rsidP="00252594">
            <w:pPr>
              <w:pStyle w:val="NormalWeb"/>
              <w:spacing w:before="0" w:after="0"/>
              <w:rPr>
                <w:b/>
                <w:sz w:val="16"/>
                <w:szCs w:val="16"/>
              </w:rPr>
            </w:pPr>
            <w:r>
              <w:rPr>
                <w:b/>
                <w:sz w:val="16"/>
                <w:szCs w:val="16"/>
              </w:rPr>
              <w:t>CA hors taxes</w:t>
            </w:r>
          </w:p>
        </w:tc>
        <w:tc>
          <w:tcPr>
            <w:tcW w:w="589" w:type="pct"/>
            <w:tcBorders>
              <w:top w:val="single" w:sz="6" w:space="0" w:color="auto"/>
              <w:left w:val="single" w:sz="6" w:space="0" w:color="auto"/>
              <w:bottom w:val="single" w:sz="6" w:space="0" w:color="auto"/>
              <w:right w:val="single" w:sz="6" w:space="0" w:color="auto"/>
            </w:tcBorders>
          </w:tcPr>
          <w:p w14:paraId="7BAC5EFD"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1EC50F4A" w14:textId="77777777" w:rsidR="00003C7A" w:rsidRDefault="00003C7A" w:rsidP="00252594">
            <w:pPr>
              <w:pStyle w:val="NormalWeb"/>
              <w:spacing w:before="0" w:after="0"/>
              <w:rPr>
                <w:sz w:val="16"/>
                <w:szCs w:val="16"/>
              </w:rPr>
            </w:pPr>
          </w:p>
        </w:tc>
        <w:tc>
          <w:tcPr>
            <w:tcW w:w="590" w:type="pct"/>
            <w:tcBorders>
              <w:top w:val="single" w:sz="6" w:space="0" w:color="auto"/>
              <w:left w:val="single" w:sz="6" w:space="0" w:color="auto"/>
              <w:bottom w:val="single" w:sz="6" w:space="0" w:color="auto"/>
              <w:right w:val="single" w:sz="18" w:space="0" w:color="auto"/>
            </w:tcBorders>
          </w:tcPr>
          <w:p w14:paraId="08E85BA2" w14:textId="77777777" w:rsidR="00003C7A" w:rsidRDefault="00003C7A" w:rsidP="00252594">
            <w:pPr>
              <w:pStyle w:val="NormalWeb"/>
              <w:spacing w:before="0" w:after="0"/>
              <w:rPr>
                <w:sz w:val="16"/>
                <w:szCs w:val="16"/>
              </w:rPr>
            </w:pPr>
          </w:p>
        </w:tc>
      </w:tr>
      <w:tr w:rsidR="00003C7A" w14:paraId="150C048F"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643CC1EF" w14:textId="77777777" w:rsidR="00003C7A" w:rsidRDefault="00003C7A" w:rsidP="00252594">
            <w:pPr>
              <w:pStyle w:val="NormalWeb"/>
              <w:spacing w:before="0" w:after="0"/>
              <w:jc w:val="center"/>
              <w:rPr>
                <w:sz w:val="16"/>
                <w:szCs w:val="16"/>
              </w:rPr>
            </w:pPr>
          </w:p>
        </w:tc>
        <w:tc>
          <w:tcPr>
            <w:tcW w:w="183" w:type="pct"/>
            <w:tcBorders>
              <w:top w:val="single" w:sz="6" w:space="0" w:color="auto"/>
              <w:left w:val="nil"/>
              <w:bottom w:val="single" w:sz="6" w:space="0" w:color="auto"/>
              <w:right w:val="nil"/>
            </w:tcBorders>
          </w:tcPr>
          <w:p w14:paraId="09E8E051" w14:textId="77777777" w:rsidR="00003C7A" w:rsidRDefault="00003C7A" w:rsidP="00252594">
            <w:pPr>
              <w:pStyle w:val="NormalWeb"/>
              <w:spacing w:before="0" w:after="0"/>
              <w:jc w:val="center"/>
              <w:rPr>
                <w:sz w:val="16"/>
                <w:szCs w:val="16"/>
              </w:rPr>
            </w:pPr>
            <w:r>
              <w:rPr>
                <w:sz w:val="16"/>
                <w:szCs w:val="16"/>
              </w:rPr>
              <w:t>–</w:t>
            </w:r>
          </w:p>
        </w:tc>
        <w:tc>
          <w:tcPr>
            <w:tcW w:w="2787" w:type="pct"/>
            <w:tcBorders>
              <w:top w:val="single" w:sz="6" w:space="0" w:color="auto"/>
              <w:left w:val="nil"/>
              <w:bottom w:val="single" w:sz="6" w:space="0" w:color="auto"/>
              <w:right w:val="single" w:sz="18" w:space="0" w:color="auto"/>
            </w:tcBorders>
            <w:vAlign w:val="center"/>
          </w:tcPr>
          <w:p w14:paraId="45F24BE2" w14:textId="77777777" w:rsidR="00003C7A" w:rsidRDefault="00003C7A" w:rsidP="00252594">
            <w:pPr>
              <w:pStyle w:val="NormalWeb"/>
              <w:spacing w:before="0" w:after="0"/>
              <w:rPr>
                <w:sz w:val="16"/>
                <w:szCs w:val="16"/>
              </w:rPr>
            </w:pPr>
            <w:r>
              <w:rPr>
                <w:sz w:val="16"/>
                <w:szCs w:val="16"/>
              </w:rPr>
              <w:t>Commissions aux agences</w:t>
            </w:r>
          </w:p>
        </w:tc>
        <w:tc>
          <w:tcPr>
            <w:tcW w:w="589" w:type="pct"/>
            <w:tcBorders>
              <w:top w:val="single" w:sz="6" w:space="0" w:color="auto"/>
              <w:left w:val="single" w:sz="6" w:space="0" w:color="auto"/>
              <w:bottom w:val="single" w:sz="6" w:space="0" w:color="auto"/>
              <w:right w:val="single" w:sz="6" w:space="0" w:color="auto"/>
            </w:tcBorders>
          </w:tcPr>
          <w:p w14:paraId="29E704A2"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1EA97EF7" w14:textId="77777777" w:rsidR="00003C7A" w:rsidRDefault="00003C7A" w:rsidP="00252594">
            <w:pPr>
              <w:pStyle w:val="NormalWeb"/>
              <w:spacing w:before="0" w:after="0"/>
              <w:rPr>
                <w:sz w:val="16"/>
                <w:szCs w:val="16"/>
              </w:rPr>
            </w:pPr>
          </w:p>
        </w:tc>
        <w:tc>
          <w:tcPr>
            <w:tcW w:w="590" w:type="pct"/>
            <w:tcBorders>
              <w:top w:val="single" w:sz="6" w:space="0" w:color="auto"/>
              <w:left w:val="single" w:sz="6" w:space="0" w:color="auto"/>
              <w:bottom w:val="single" w:sz="6" w:space="0" w:color="auto"/>
              <w:right w:val="single" w:sz="18" w:space="0" w:color="auto"/>
            </w:tcBorders>
          </w:tcPr>
          <w:p w14:paraId="6778817A" w14:textId="77777777" w:rsidR="00003C7A" w:rsidRDefault="00003C7A" w:rsidP="00252594">
            <w:pPr>
              <w:pStyle w:val="NormalWeb"/>
              <w:spacing w:before="0" w:after="0"/>
              <w:rPr>
                <w:sz w:val="16"/>
                <w:szCs w:val="16"/>
              </w:rPr>
            </w:pPr>
          </w:p>
        </w:tc>
      </w:tr>
      <w:tr w:rsidR="00003C7A" w14:paraId="504276A7"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09179042" w14:textId="77777777" w:rsidR="00003C7A" w:rsidRDefault="00003C7A" w:rsidP="00252594">
            <w:pPr>
              <w:pStyle w:val="NormalWeb"/>
              <w:spacing w:before="0" w:after="0"/>
              <w:jc w:val="center"/>
              <w:rPr>
                <w:sz w:val="16"/>
                <w:szCs w:val="16"/>
              </w:rPr>
            </w:pPr>
            <w:r>
              <w:rPr>
                <w:sz w:val="16"/>
                <w:szCs w:val="16"/>
              </w:rPr>
              <w:t>(</w:t>
            </w:r>
            <w:proofErr w:type="gramStart"/>
            <w:r>
              <w:rPr>
                <w:sz w:val="16"/>
                <w:szCs w:val="16"/>
              </w:rPr>
              <w:t>e</w:t>
            </w:r>
            <w:proofErr w:type="gramEnd"/>
            <w:r>
              <w:rPr>
                <w:sz w:val="16"/>
                <w:szCs w:val="16"/>
              </w:rPr>
              <w:t>)</w:t>
            </w:r>
          </w:p>
        </w:tc>
        <w:tc>
          <w:tcPr>
            <w:tcW w:w="183" w:type="pct"/>
            <w:tcBorders>
              <w:top w:val="single" w:sz="6" w:space="0" w:color="auto"/>
              <w:left w:val="nil"/>
              <w:bottom w:val="single" w:sz="6" w:space="0" w:color="auto"/>
              <w:right w:val="nil"/>
            </w:tcBorders>
          </w:tcPr>
          <w:p w14:paraId="6805F131" w14:textId="77777777" w:rsidR="00003C7A" w:rsidRDefault="00003C7A" w:rsidP="00252594">
            <w:pPr>
              <w:pStyle w:val="NormalWeb"/>
              <w:spacing w:before="0" w:after="0"/>
              <w:jc w:val="center"/>
              <w:rPr>
                <w:sz w:val="16"/>
                <w:szCs w:val="16"/>
              </w:rPr>
            </w:pPr>
            <w:r>
              <w:rPr>
                <w:sz w:val="16"/>
                <w:szCs w:val="16"/>
              </w:rPr>
              <w:t>=</w:t>
            </w:r>
          </w:p>
        </w:tc>
        <w:tc>
          <w:tcPr>
            <w:tcW w:w="2787" w:type="pct"/>
            <w:tcBorders>
              <w:top w:val="single" w:sz="6" w:space="0" w:color="auto"/>
              <w:left w:val="nil"/>
              <w:bottom w:val="single" w:sz="6" w:space="0" w:color="auto"/>
              <w:right w:val="single" w:sz="18" w:space="0" w:color="auto"/>
            </w:tcBorders>
            <w:vAlign w:val="center"/>
          </w:tcPr>
          <w:p w14:paraId="4702CE00" w14:textId="77777777" w:rsidR="00003C7A" w:rsidRDefault="00003C7A" w:rsidP="00252594">
            <w:pPr>
              <w:pStyle w:val="NormalWeb"/>
              <w:spacing w:before="0" w:after="0"/>
              <w:rPr>
                <w:b/>
                <w:sz w:val="16"/>
                <w:szCs w:val="16"/>
              </w:rPr>
            </w:pPr>
            <w:r>
              <w:rPr>
                <w:b/>
                <w:sz w:val="16"/>
                <w:szCs w:val="16"/>
              </w:rPr>
              <w:t>CA hors taxes et commissions aux agences</w:t>
            </w:r>
          </w:p>
        </w:tc>
        <w:tc>
          <w:tcPr>
            <w:tcW w:w="589" w:type="pct"/>
            <w:tcBorders>
              <w:top w:val="single" w:sz="6" w:space="0" w:color="auto"/>
              <w:left w:val="single" w:sz="6" w:space="0" w:color="auto"/>
              <w:bottom w:val="single" w:sz="6" w:space="0" w:color="auto"/>
              <w:right w:val="single" w:sz="6" w:space="0" w:color="auto"/>
            </w:tcBorders>
          </w:tcPr>
          <w:p w14:paraId="5C7A1B39"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53734E5F" w14:textId="77777777" w:rsidR="00003C7A" w:rsidRDefault="00003C7A" w:rsidP="00252594">
            <w:pPr>
              <w:pStyle w:val="NormalWeb"/>
              <w:spacing w:before="0" w:after="0"/>
              <w:rPr>
                <w:sz w:val="16"/>
                <w:szCs w:val="16"/>
              </w:rPr>
            </w:pPr>
          </w:p>
        </w:tc>
        <w:tc>
          <w:tcPr>
            <w:tcW w:w="590" w:type="pct"/>
            <w:tcBorders>
              <w:top w:val="single" w:sz="6" w:space="0" w:color="auto"/>
              <w:left w:val="single" w:sz="6" w:space="0" w:color="auto"/>
              <w:bottom w:val="single" w:sz="6" w:space="0" w:color="auto"/>
              <w:right w:val="single" w:sz="18" w:space="0" w:color="auto"/>
            </w:tcBorders>
          </w:tcPr>
          <w:p w14:paraId="0992653C" w14:textId="77777777" w:rsidR="00003C7A" w:rsidRDefault="00003C7A" w:rsidP="00252594">
            <w:pPr>
              <w:pStyle w:val="NormalWeb"/>
              <w:spacing w:before="0" w:after="0"/>
              <w:rPr>
                <w:sz w:val="16"/>
                <w:szCs w:val="16"/>
              </w:rPr>
            </w:pPr>
          </w:p>
        </w:tc>
      </w:tr>
      <w:tr w:rsidR="00003C7A" w14:paraId="65ED222A" w14:textId="77777777" w:rsidTr="00003C7A">
        <w:trPr>
          <w:trHeight w:hRule="exact" w:val="284"/>
          <w:jc w:val="center"/>
        </w:trPr>
        <w:tc>
          <w:tcPr>
            <w:tcW w:w="262" w:type="pct"/>
            <w:tcBorders>
              <w:top w:val="single" w:sz="6" w:space="0" w:color="auto"/>
              <w:left w:val="single" w:sz="18" w:space="0" w:color="auto"/>
              <w:bottom w:val="single" w:sz="18" w:space="0" w:color="auto"/>
              <w:right w:val="nil"/>
            </w:tcBorders>
          </w:tcPr>
          <w:p w14:paraId="20CEC5ED" w14:textId="77777777" w:rsidR="00003C7A" w:rsidRDefault="00003C7A" w:rsidP="00252594">
            <w:pPr>
              <w:pStyle w:val="NormalWeb"/>
              <w:spacing w:before="0" w:after="0"/>
              <w:jc w:val="center"/>
              <w:rPr>
                <w:sz w:val="16"/>
                <w:szCs w:val="16"/>
              </w:rPr>
            </w:pPr>
            <w:r>
              <w:rPr>
                <w:sz w:val="16"/>
                <w:szCs w:val="16"/>
              </w:rPr>
              <w:t>(</w:t>
            </w:r>
            <w:proofErr w:type="gramStart"/>
            <w:r>
              <w:rPr>
                <w:sz w:val="16"/>
                <w:szCs w:val="16"/>
              </w:rPr>
              <w:t>g</w:t>
            </w:r>
            <w:proofErr w:type="gramEnd"/>
            <w:r>
              <w:rPr>
                <w:sz w:val="16"/>
                <w:szCs w:val="16"/>
              </w:rPr>
              <w:t>)</w:t>
            </w:r>
          </w:p>
        </w:tc>
        <w:tc>
          <w:tcPr>
            <w:tcW w:w="183" w:type="pct"/>
            <w:tcBorders>
              <w:top w:val="single" w:sz="6" w:space="0" w:color="auto"/>
              <w:left w:val="nil"/>
              <w:bottom w:val="single" w:sz="18" w:space="0" w:color="auto"/>
              <w:right w:val="nil"/>
            </w:tcBorders>
          </w:tcPr>
          <w:p w14:paraId="378BE619" w14:textId="77777777" w:rsidR="00003C7A" w:rsidRDefault="00003C7A" w:rsidP="00252594">
            <w:pPr>
              <w:pStyle w:val="NormalWeb"/>
              <w:spacing w:before="0" w:after="0"/>
              <w:jc w:val="center"/>
              <w:rPr>
                <w:sz w:val="16"/>
                <w:szCs w:val="16"/>
              </w:rPr>
            </w:pPr>
            <w:r>
              <w:rPr>
                <w:sz w:val="16"/>
                <w:szCs w:val="16"/>
              </w:rPr>
              <w:t>+</w:t>
            </w:r>
          </w:p>
          <w:p w14:paraId="0D070E20" w14:textId="77777777" w:rsidR="00003C7A" w:rsidRDefault="00003C7A" w:rsidP="00252594">
            <w:pPr>
              <w:pStyle w:val="NormalWeb"/>
              <w:spacing w:before="0" w:after="0"/>
              <w:jc w:val="center"/>
              <w:rPr>
                <w:sz w:val="16"/>
                <w:szCs w:val="16"/>
              </w:rPr>
            </w:pPr>
          </w:p>
        </w:tc>
        <w:tc>
          <w:tcPr>
            <w:tcW w:w="2787" w:type="pct"/>
            <w:tcBorders>
              <w:top w:val="single" w:sz="6" w:space="0" w:color="auto"/>
              <w:left w:val="nil"/>
              <w:bottom w:val="single" w:sz="18" w:space="0" w:color="auto"/>
              <w:right w:val="single" w:sz="18" w:space="0" w:color="auto"/>
            </w:tcBorders>
            <w:vAlign w:val="center"/>
          </w:tcPr>
          <w:p w14:paraId="62B58836" w14:textId="77777777" w:rsidR="00003C7A" w:rsidRDefault="00003C7A" w:rsidP="00252594">
            <w:pPr>
              <w:pStyle w:val="NormalWeb"/>
              <w:spacing w:before="0" w:after="0"/>
              <w:rPr>
                <w:sz w:val="16"/>
                <w:szCs w:val="16"/>
              </w:rPr>
            </w:pPr>
            <w:r>
              <w:rPr>
                <w:sz w:val="16"/>
                <w:szCs w:val="16"/>
              </w:rPr>
              <w:t>Autres produits</w:t>
            </w:r>
          </w:p>
        </w:tc>
        <w:tc>
          <w:tcPr>
            <w:tcW w:w="589" w:type="pct"/>
            <w:tcBorders>
              <w:top w:val="single" w:sz="6" w:space="0" w:color="auto"/>
              <w:left w:val="single" w:sz="6" w:space="0" w:color="auto"/>
              <w:bottom w:val="single" w:sz="18" w:space="0" w:color="auto"/>
              <w:right w:val="single" w:sz="6" w:space="0" w:color="auto"/>
            </w:tcBorders>
          </w:tcPr>
          <w:p w14:paraId="0E91AB19"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18" w:space="0" w:color="auto"/>
              <w:right w:val="single" w:sz="18" w:space="0" w:color="auto"/>
            </w:tcBorders>
          </w:tcPr>
          <w:p w14:paraId="055D923C" w14:textId="77777777" w:rsidR="00003C7A" w:rsidRDefault="00003C7A" w:rsidP="00252594">
            <w:pPr>
              <w:pStyle w:val="NormalWeb"/>
              <w:spacing w:before="0" w:after="0"/>
              <w:rPr>
                <w:sz w:val="16"/>
                <w:szCs w:val="16"/>
              </w:rPr>
            </w:pPr>
          </w:p>
        </w:tc>
        <w:tc>
          <w:tcPr>
            <w:tcW w:w="590" w:type="pct"/>
            <w:tcBorders>
              <w:top w:val="single" w:sz="6" w:space="0" w:color="auto"/>
              <w:left w:val="single" w:sz="6" w:space="0" w:color="auto"/>
              <w:bottom w:val="single" w:sz="18" w:space="0" w:color="auto"/>
              <w:right w:val="single" w:sz="18" w:space="0" w:color="auto"/>
            </w:tcBorders>
          </w:tcPr>
          <w:p w14:paraId="71BFCB74" w14:textId="77777777" w:rsidR="00003C7A" w:rsidRDefault="00003C7A" w:rsidP="00252594">
            <w:pPr>
              <w:pStyle w:val="NormalWeb"/>
              <w:spacing w:before="0" w:after="0"/>
              <w:rPr>
                <w:sz w:val="16"/>
                <w:szCs w:val="16"/>
              </w:rPr>
            </w:pPr>
          </w:p>
        </w:tc>
      </w:tr>
      <w:tr w:rsidR="00003C7A" w14:paraId="7E043663" w14:textId="77777777" w:rsidTr="00003C7A">
        <w:trPr>
          <w:trHeight w:hRule="exact" w:val="284"/>
          <w:jc w:val="center"/>
        </w:trPr>
        <w:tc>
          <w:tcPr>
            <w:tcW w:w="262" w:type="pct"/>
            <w:tcBorders>
              <w:top w:val="single" w:sz="18" w:space="0" w:color="auto"/>
              <w:left w:val="single" w:sz="18" w:space="0" w:color="auto"/>
              <w:bottom w:val="single" w:sz="18" w:space="0" w:color="auto"/>
              <w:right w:val="nil"/>
            </w:tcBorders>
          </w:tcPr>
          <w:p w14:paraId="55449D5E" w14:textId="77777777" w:rsidR="00003C7A" w:rsidRDefault="00003C7A" w:rsidP="00252594">
            <w:pPr>
              <w:pStyle w:val="NormalWeb"/>
              <w:spacing w:before="0" w:after="0"/>
              <w:jc w:val="center"/>
              <w:rPr>
                <w:sz w:val="16"/>
                <w:szCs w:val="16"/>
              </w:rPr>
            </w:pPr>
          </w:p>
        </w:tc>
        <w:tc>
          <w:tcPr>
            <w:tcW w:w="183" w:type="pct"/>
            <w:tcBorders>
              <w:top w:val="single" w:sz="18" w:space="0" w:color="auto"/>
              <w:left w:val="nil"/>
              <w:bottom w:val="single" w:sz="18" w:space="0" w:color="auto"/>
              <w:right w:val="nil"/>
            </w:tcBorders>
          </w:tcPr>
          <w:p w14:paraId="4455FF82" w14:textId="77777777" w:rsidR="00003C7A" w:rsidRDefault="00003C7A" w:rsidP="00252594">
            <w:pPr>
              <w:pStyle w:val="NormalWeb"/>
              <w:spacing w:before="0" w:after="0"/>
              <w:jc w:val="center"/>
              <w:rPr>
                <w:sz w:val="16"/>
                <w:szCs w:val="16"/>
              </w:rPr>
            </w:pPr>
            <w:r>
              <w:rPr>
                <w:sz w:val="16"/>
                <w:szCs w:val="16"/>
              </w:rPr>
              <w:t>=</w:t>
            </w:r>
          </w:p>
        </w:tc>
        <w:tc>
          <w:tcPr>
            <w:tcW w:w="2787" w:type="pct"/>
            <w:tcBorders>
              <w:top w:val="single" w:sz="18" w:space="0" w:color="auto"/>
              <w:left w:val="nil"/>
              <w:bottom w:val="single" w:sz="18" w:space="0" w:color="auto"/>
              <w:right w:val="single" w:sz="18" w:space="0" w:color="auto"/>
            </w:tcBorders>
            <w:vAlign w:val="center"/>
          </w:tcPr>
          <w:p w14:paraId="3237E855" w14:textId="77777777" w:rsidR="00003C7A" w:rsidRDefault="00003C7A" w:rsidP="00252594">
            <w:pPr>
              <w:pStyle w:val="NormalWeb"/>
              <w:spacing w:before="0" w:after="0"/>
              <w:rPr>
                <w:b/>
                <w:sz w:val="16"/>
                <w:szCs w:val="16"/>
              </w:rPr>
            </w:pPr>
            <w:r>
              <w:rPr>
                <w:b/>
                <w:sz w:val="16"/>
                <w:szCs w:val="16"/>
              </w:rPr>
              <w:t xml:space="preserve">Total produits de l’année </w:t>
            </w:r>
          </w:p>
        </w:tc>
        <w:tc>
          <w:tcPr>
            <w:tcW w:w="589" w:type="pct"/>
            <w:tcBorders>
              <w:top w:val="single" w:sz="18" w:space="0" w:color="auto"/>
              <w:left w:val="single" w:sz="6" w:space="0" w:color="auto"/>
              <w:bottom w:val="single" w:sz="18" w:space="0" w:color="auto"/>
              <w:right w:val="single" w:sz="6" w:space="0" w:color="auto"/>
            </w:tcBorders>
          </w:tcPr>
          <w:p w14:paraId="09D70230" w14:textId="77777777" w:rsidR="00003C7A" w:rsidRDefault="00003C7A" w:rsidP="00252594">
            <w:pPr>
              <w:pStyle w:val="NormalWeb"/>
              <w:spacing w:before="0" w:after="0"/>
            </w:pPr>
          </w:p>
        </w:tc>
        <w:tc>
          <w:tcPr>
            <w:tcW w:w="589" w:type="pct"/>
            <w:tcBorders>
              <w:top w:val="single" w:sz="18" w:space="0" w:color="auto"/>
              <w:left w:val="single" w:sz="6" w:space="0" w:color="auto"/>
              <w:bottom w:val="single" w:sz="18" w:space="0" w:color="auto"/>
              <w:right w:val="single" w:sz="18" w:space="0" w:color="auto"/>
            </w:tcBorders>
          </w:tcPr>
          <w:p w14:paraId="187B915B" w14:textId="77777777" w:rsidR="00003C7A" w:rsidRDefault="00003C7A" w:rsidP="00252594">
            <w:pPr>
              <w:pStyle w:val="NormalWeb"/>
              <w:spacing w:before="0" w:after="0"/>
              <w:rPr>
                <w:sz w:val="16"/>
                <w:szCs w:val="16"/>
              </w:rPr>
            </w:pPr>
          </w:p>
        </w:tc>
        <w:tc>
          <w:tcPr>
            <w:tcW w:w="590" w:type="pct"/>
            <w:tcBorders>
              <w:top w:val="single" w:sz="18" w:space="0" w:color="auto"/>
              <w:left w:val="single" w:sz="6" w:space="0" w:color="auto"/>
              <w:bottom w:val="single" w:sz="18" w:space="0" w:color="auto"/>
              <w:right w:val="single" w:sz="18" w:space="0" w:color="auto"/>
            </w:tcBorders>
          </w:tcPr>
          <w:p w14:paraId="57840016" w14:textId="77777777" w:rsidR="00003C7A" w:rsidRDefault="00003C7A" w:rsidP="00252594">
            <w:pPr>
              <w:pStyle w:val="NormalWeb"/>
              <w:spacing w:before="0" w:after="0"/>
              <w:rPr>
                <w:sz w:val="16"/>
                <w:szCs w:val="16"/>
              </w:rPr>
            </w:pPr>
          </w:p>
        </w:tc>
      </w:tr>
    </w:tbl>
    <w:p w14:paraId="02A77179" w14:textId="77777777" w:rsidR="00F85507" w:rsidRDefault="00F85507" w:rsidP="00F85507">
      <w:pPr>
        <w:tabs>
          <w:tab w:val="left" w:pos="709"/>
          <w:tab w:val="left" w:pos="1418"/>
        </w:tabs>
        <w:jc w:val="center"/>
        <w:rPr>
          <w:b/>
          <w:sz w:val="16"/>
          <w:szCs w:val="16"/>
        </w:rPr>
      </w:pPr>
    </w:p>
    <w:p w14:paraId="6CB8EC05" w14:textId="77777777" w:rsidR="00F85507" w:rsidRPr="00881CE1" w:rsidRDefault="00F85507" w:rsidP="00F85507">
      <w:pPr>
        <w:tabs>
          <w:tab w:val="left" w:pos="709"/>
          <w:tab w:val="left" w:pos="1418"/>
        </w:tabs>
        <w:jc w:val="center"/>
        <w:rPr>
          <w:b/>
          <w:sz w:val="16"/>
          <w:szCs w:val="16"/>
        </w:rPr>
      </w:pPr>
      <w:r>
        <w:rPr>
          <w:b/>
          <w:sz w:val="16"/>
          <w:szCs w:val="16"/>
        </w:rPr>
        <w:br w:type="page"/>
      </w:r>
    </w:p>
    <w:p w14:paraId="0D437D73" w14:textId="77777777" w:rsidR="00F85507" w:rsidRPr="00881CE1" w:rsidRDefault="00F85507" w:rsidP="00F85507">
      <w:pPr>
        <w:tabs>
          <w:tab w:val="left" w:pos="709"/>
          <w:tab w:val="left" w:pos="1418"/>
        </w:tabs>
        <w:jc w:val="center"/>
        <w:rPr>
          <w:b/>
          <w:sz w:val="16"/>
          <w:szCs w:val="16"/>
        </w:rPr>
      </w:pPr>
    </w:p>
    <w:tbl>
      <w:tblPr>
        <w:tblW w:w="4486"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93"/>
        <w:gridCol w:w="327"/>
        <w:gridCol w:w="4604"/>
        <w:gridCol w:w="947"/>
        <w:gridCol w:w="947"/>
        <w:gridCol w:w="947"/>
      </w:tblGrid>
      <w:tr w:rsidR="00003C7A" w14:paraId="27C361C1" w14:textId="77777777" w:rsidTr="00003C7A">
        <w:trPr>
          <w:jc w:val="center"/>
        </w:trPr>
        <w:tc>
          <w:tcPr>
            <w:tcW w:w="298" w:type="pct"/>
            <w:tcBorders>
              <w:top w:val="single" w:sz="18" w:space="0" w:color="auto"/>
              <w:left w:val="single" w:sz="18" w:space="0" w:color="auto"/>
              <w:bottom w:val="single" w:sz="6" w:space="0" w:color="auto"/>
              <w:right w:val="nil"/>
            </w:tcBorders>
            <w:vAlign w:val="center"/>
          </w:tcPr>
          <w:p w14:paraId="7130521B" w14:textId="77777777" w:rsidR="00003C7A" w:rsidRDefault="00003C7A" w:rsidP="00252594">
            <w:pPr>
              <w:pStyle w:val="NormalWeb"/>
              <w:spacing w:before="0" w:after="0"/>
              <w:jc w:val="center"/>
              <w:rPr>
                <w:sz w:val="16"/>
                <w:szCs w:val="16"/>
              </w:rPr>
            </w:pPr>
          </w:p>
        </w:tc>
        <w:tc>
          <w:tcPr>
            <w:tcW w:w="198" w:type="pct"/>
            <w:tcBorders>
              <w:top w:val="single" w:sz="18" w:space="0" w:color="auto"/>
              <w:left w:val="nil"/>
              <w:bottom w:val="single" w:sz="6" w:space="0" w:color="auto"/>
              <w:right w:val="nil"/>
            </w:tcBorders>
            <w:vAlign w:val="center"/>
          </w:tcPr>
          <w:p w14:paraId="65CAD1E3" w14:textId="77777777" w:rsidR="00003C7A" w:rsidRDefault="00003C7A" w:rsidP="00252594">
            <w:pPr>
              <w:pStyle w:val="NormalWeb"/>
              <w:spacing w:before="0" w:after="0"/>
              <w:jc w:val="center"/>
              <w:rPr>
                <w:sz w:val="16"/>
                <w:szCs w:val="16"/>
              </w:rPr>
            </w:pPr>
          </w:p>
        </w:tc>
        <w:tc>
          <w:tcPr>
            <w:tcW w:w="2785" w:type="pct"/>
            <w:tcBorders>
              <w:top w:val="single" w:sz="18" w:space="0" w:color="auto"/>
              <w:left w:val="nil"/>
              <w:bottom w:val="single" w:sz="6" w:space="0" w:color="auto"/>
              <w:right w:val="single" w:sz="18" w:space="0" w:color="auto"/>
            </w:tcBorders>
            <w:vAlign w:val="center"/>
          </w:tcPr>
          <w:p w14:paraId="30E2E9E0" w14:textId="77777777" w:rsidR="00003C7A" w:rsidRDefault="00003C7A" w:rsidP="00252594">
            <w:pPr>
              <w:pStyle w:val="NormalWeb"/>
              <w:spacing w:before="0" w:after="0"/>
              <w:rPr>
                <w:b/>
                <w:smallCaps/>
                <w:sz w:val="16"/>
                <w:szCs w:val="16"/>
              </w:rPr>
            </w:pPr>
            <w:r>
              <w:rPr>
                <w:b/>
                <w:smallCaps/>
                <w:sz w:val="16"/>
                <w:szCs w:val="16"/>
              </w:rPr>
              <w:t>Charges annuelles</w:t>
            </w:r>
          </w:p>
          <w:p w14:paraId="0C330C3F" w14:textId="77777777" w:rsidR="00003C7A" w:rsidRDefault="00003C7A" w:rsidP="00252594">
            <w:pPr>
              <w:pStyle w:val="NormalWeb"/>
              <w:spacing w:before="0" w:after="0"/>
              <w:rPr>
                <w:sz w:val="16"/>
                <w:szCs w:val="16"/>
              </w:rPr>
            </w:pPr>
            <w:r>
              <w:rPr>
                <w:b/>
                <w:smallCaps/>
                <w:sz w:val="16"/>
                <w:szCs w:val="16"/>
              </w:rPr>
              <w:t>(Y compris frais de mise en place)</w:t>
            </w:r>
          </w:p>
        </w:tc>
        <w:tc>
          <w:tcPr>
            <w:tcW w:w="573" w:type="pct"/>
            <w:tcBorders>
              <w:top w:val="single" w:sz="18" w:space="0" w:color="auto"/>
              <w:left w:val="single" w:sz="6" w:space="0" w:color="auto"/>
              <w:bottom w:val="single" w:sz="6" w:space="0" w:color="auto"/>
              <w:right w:val="single" w:sz="6" w:space="0" w:color="auto"/>
            </w:tcBorders>
            <w:vAlign w:val="center"/>
          </w:tcPr>
          <w:p w14:paraId="7459F6D9" w14:textId="58376DDE" w:rsidR="00003C7A" w:rsidRDefault="00003C7A" w:rsidP="00252594">
            <w:pPr>
              <w:pStyle w:val="NormalWeb"/>
              <w:spacing w:before="0" w:after="0"/>
              <w:jc w:val="center"/>
              <w:rPr>
                <w:sz w:val="16"/>
                <w:szCs w:val="16"/>
              </w:rPr>
            </w:pPr>
            <w:r>
              <w:rPr>
                <w:color w:val="FF0000"/>
                <w:sz w:val="16"/>
                <w:szCs w:val="16"/>
              </w:rPr>
              <w:t>9</w:t>
            </w:r>
            <w:r w:rsidRPr="00CB05D7">
              <w:rPr>
                <w:color w:val="FF0000"/>
                <w:sz w:val="16"/>
                <w:szCs w:val="16"/>
              </w:rPr>
              <w:t xml:space="preserve"> </w:t>
            </w:r>
            <w:r>
              <w:rPr>
                <w:color w:val="FF0000"/>
                <w:sz w:val="16"/>
                <w:szCs w:val="16"/>
              </w:rPr>
              <w:t>avril 2026</w:t>
            </w:r>
            <w:r w:rsidRPr="00CB05D7">
              <w:rPr>
                <w:color w:val="FF0000"/>
                <w:sz w:val="16"/>
                <w:szCs w:val="16"/>
              </w:rPr>
              <w:t xml:space="preserve"> – </w:t>
            </w:r>
            <w:r>
              <w:rPr>
                <w:color w:val="FF0000"/>
                <w:sz w:val="16"/>
                <w:szCs w:val="16"/>
              </w:rPr>
              <w:t>8</w:t>
            </w:r>
            <w:r w:rsidRPr="00CB05D7">
              <w:rPr>
                <w:color w:val="FF0000"/>
                <w:sz w:val="16"/>
                <w:szCs w:val="16"/>
              </w:rPr>
              <w:t xml:space="preserve"> </w:t>
            </w:r>
            <w:r>
              <w:rPr>
                <w:color w:val="FF0000"/>
                <w:sz w:val="16"/>
                <w:szCs w:val="16"/>
              </w:rPr>
              <w:t>avril</w:t>
            </w:r>
            <w:r w:rsidRPr="00CB05D7">
              <w:rPr>
                <w:color w:val="FF0000"/>
                <w:sz w:val="16"/>
                <w:szCs w:val="16"/>
              </w:rPr>
              <w:t xml:space="preserve"> </w:t>
            </w:r>
            <w:r>
              <w:rPr>
                <w:color w:val="FF0000"/>
                <w:sz w:val="16"/>
                <w:szCs w:val="16"/>
              </w:rPr>
              <w:t>2027</w:t>
            </w:r>
          </w:p>
        </w:tc>
        <w:tc>
          <w:tcPr>
            <w:tcW w:w="573" w:type="pct"/>
            <w:tcBorders>
              <w:top w:val="single" w:sz="18" w:space="0" w:color="auto"/>
              <w:left w:val="single" w:sz="6" w:space="0" w:color="auto"/>
              <w:bottom w:val="single" w:sz="6" w:space="0" w:color="auto"/>
              <w:right w:val="single" w:sz="18" w:space="0" w:color="auto"/>
            </w:tcBorders>
            <w:vAlign w:val="center"/>
          </w:tcPr>
          <w:p w14:paraId="3A5FE9EE" w14:textId="068A93DA" w:rsidR="00003C7A" w:rsidRDefault="00003C7A" w:rsidP="00252594">
            <w:pPr>
              <w:pStyle w:val="NormalWeb"/>
              <w:spacing w:before="0" w:after="0"/>
              <w:jc w:val="center"/>
              <w:rPr>
                <w:sz w:val="16"/>
                <w:szCs w:val="16"/>
              </w:rPr>
            </w:pPr>
            <w:r>
              <w:rPr>
                <w:color w:val="FF0000"/>
                <w:sz w:val="16"/>
                <w:szCs w:val="16"/>
              </w:rPr>
              <w:t>9</w:t>
            </w:r>
            <w:r w:rsidRPr="00CB05D7">
              <w:rPr>
                <w:color w:val="FF0000"/>
                <w:sz w:val="16"/>
                <w:szCs w:val="16"/>
              </w:rPr>
              <w:t xml:space="preserve"> </w:t>
            </w:r>
            <w:r>
              <w:rPr>
                <w:color w:val="FF0000"/>
                <w:sz w:val="16"/>
                <w:szCs w:val="16"/>
              </w:rPr>
              <w:t>avril</w:t>
            </w:r>
            <w:r w:rsidRPr="00CB05D7">
              <w:rPr>
                <w:color w:val="FF0000"/>
                <w:sz w:val="16"/>
                <w:szCs w:val="16"/>
              </w:rPr>
              <w:t xml:space="preserve"> </w:t>
            </w:r>
            <w:r>
              <w:rPr>
                <w:color w:val="FF0000"/>
                <w:sz w:val="16"/>
                <w:szCs w:val="16"/>
              </w:rPr>
              <w:t>2027</w:t>
            </w:r>
            <w:r w:rsidRPr="00CB05D7">
              <w:rPr>
                <w:color w:val="FF0000"/>
                <w:sz w:val="16"/>
                <w:szCs w:val="16"/>
              </w:rPr>
              <w:t xml:space="preserve"> – </w:t>
            </w:r>
            <w:r>
              <w:rPr>
                <w:color w:val="FF0000"/>
                <w:sz w:val="16"/>
                <w:szCs w:val="16"/>
              </w:rPr>
              <w:t>8</w:t>
            </w:r>
            <w:r w:rsidRPr="00CB05D7">
              <w:rPr>
                <w:color w:val="FF0000"/>
                <w:sz w:val="16"/>
                <w:szCs w:val="16"/>
              </w:rPr>
              <w:t xml:space="preserve"> </w:t>
            </w:r>
            <w:r>
              <w:rPr>
                <w:color w:val="FF0000"/>
                <w:sz w:val="16"/>
                <w:szCs w:val="16"/>
              </w:rPr>
              <w:t>avril</w:t>
            </w:r>
            <w:r w:rsidRPr="00CB05D7">
              <w:rPr>
                <w:color w:val="FF0000"/>
                <w:sz w:val="16"/>
                <w:szCs w:val="16"/>
              </w:rPr>
              <w:t xml:space="preserve"> </w:t>
            </w:r>
            <w:r>
              <w:rPr>
                <w:color w:val="FF0000"/>
                <w:sz w:val="16"/>
                <w:szCs w:val="16"/>
              </w:rPr>
              <w:t>2028</w:t>
            </w:r>
          </w:p>
        </w:tc>
        <w:tc>
          <w:tcPr>
            <w:tcW w:w="573" w:type="pct"/>
            <w:tcBorders>
              <w:top w:val="single" w:sz="18" w:space="0" w:color="auto"/>
              <w:left w:val="single" w:sz="6" w:space="0" w:color="auto"/>
              <w:bottom w:val="single" w:sz="6" w:space="0" w:color="auto"/>
              <w:right w:val="single" w:sz="18" w:space="0" w:color="auto"/>
            </w:tcBorders>
            <w:vAlign w:val="center"/>
          </w:tcPr>
          <w:p w14:paraId="0C9E161F" w14:textId="77777777" w:rsidR="00003C7A" w:rsidRDefault="00003C7A" w:rsidP="00252594">
            <w:pPr>
              <w:pStyle w:val="NormalWeb"/>
              <w:spacing w:before="0" w:after="0"/>
              <w:jc w:val="center"/>
              <w:rPr>
                <w:sz w:val="16"/>
                <w:szCs w:val="16"/>
              </w:rPr>
            </w:pPr>
            <w:r>
              <w:rPr>
                <w:sz w:val="16"/>
                <w:szCs w:val="16"/>
              </w:rPr>
              <w:t>Total</w:t>
            </w:r>
          </w:p>
        </w:tc>
      </w:tr>
      <w:tr w:rsidR="00003C7A" w14:paraId="41544F08" w14:textId="77777777" w:rsidTr="00003C7A">
        <w:trPr>
          <w:trHeight w:hRule="exact" w:val="284"/>
          <w:jc w:val="center"/>
        </w:trPr>
        <w:tc>
          <w:tcPr>
            <w:tcW w:w="298" w:type="pct"/>
            <w:tcBorders>
              <w:top w:val="single" w:sz="18" w:space="0" w:color="auto"/>
              <w:left w:val="single" w:sz="18" w:space="0" w:color="auto"/>
              <w:bottom w:val="single" w:sz="6" w:space="0" w:color="auto"/>
              <w:right w:val="nil"/>
            </w:tcBorders>
          </w:tcPr>
          <w:p w14:paraId="0D89EF53" w14:textId="77777777" w:rsidR="00003C7A" w:rsidRDefault="00003C7A" w:rsidP="00252594">
            <w:pPr>
              <w:pStyle w:val="NormalWeb"/>
              <w:spacing w:before="0" w:after="0"/>
              <w:jc w:val="center"/>
              <w:rPr>
                <w:sz w:val="16"/>
                <w:szCs w:val="16"/>
              </w:rPr>
            </w:pPr>
            <w:r>
              <w:rPr>
                <w:sz w:val="16"/>
                <w:szCs w:val="16"/>
              </w:rPr>
              <w:t>(</w:t>
            </w:r>
            <w:proofErr w:type="gramStart"/>
            <w:r>
              <w:rPr>
                <w:sz w:val="16"/>
                <w:szCs w:val="16"/>
              </w:rPr>
              <w:t>h</w:t>
            </w:r>
            <w:proofErr w:type="gramEnd"/>
            <w:r>
              <w:rPr>
                <w:sz w:val="16"/>
                <w:szCs w:val="16"/>
              </w:rPr>
              <w:t>)</w:t>
            </w:r>
          </w:p>
        </w:tc>
        <w:tc>
          <w:tcPr>
            <w:tcW w:w="198" w:type="pct"/>
            <w:tcBorders>
              <w:top w:val="single" w:sz="18" w:space="0" w:color="auto"/>
              <w:left w:val="nil"/>
              <w:bottom w:val="single" w:sz="6" w:space="0" w:color="auto"/>
              <w:right w:val="nil"/>
            </w:tcBorders>
          </w:tcPr>
          <w:p w14:paraId="7FAEFE31" w14:textId="77777777" w:rsidR="00003C7A" w:rsidRDefault="00003C7A" w:rsidP="00252594">
            <w:pPr>
              <w:pStyle w:val="NormalWeb"/>
              <w:spacing w:before="0" w:after="0"/>
              <w:jc w:val="center"/>
              <w:rPr>
                <w:sz w:val="16"/>
                <w:szCs w:val="16"/>
              </w:rPr>
            </w:pPr>
          </w:p>
        </w:tc>
        <w:tc>
          <w:tcPr>
            <w:tcW w:w="2785" w:type="pct"/>
            <w:tcBorders>
              <w:top w:val="single" w:sz="18" w:space="0" w:color="auto"/>
              <w:left w:val="nil"/>
              <w:bottom w:val="single" w:sz="6" w:space="0" w:color="auto"/>
              <w:right w:val="single" w:sz="18" w:space="0" w:color="auto"/>
            </w:tcBorders>
            <w:vAlign w:val="center"/>
          </w:tcPr>
          <w:p w14:paraId="775AA318" w14:textId="77777777" w:rsidR="00003C7A" w:rsidRDefault="00003C7A" w:rsidP="00252594">
            <w:pPr>
              <w:pStyle w:val="NormalWeb"/>
              <w:spacing w:before="0" w:after="0"/>
              <w:rPr>
                <w:sz w:val="16"/>
                <w:szCs w:val="16"/>
              </w:rPr>
            </w:pPr>
            <w:r>
              <w:rPr>
                <w:sz w:val="16"/>
                <w:szCs w:val="16"/>
              </w:rPr>
              <w:t>Loyers coques</w:t>
            </w:r>
          </w:p>
        </w:tc>
        <w:tc>
          <w:tcPr>
            <w:tcW w:w="573" w:type="pct"/>
            <w:tcBorders>
              <w:top w:val="single" w:sz="18" w:space="0" w:color="auto"/>
              <w:left w:val="single" w:sz="6" w:space="0" w:color="auto"/>
              <w:bottom w:val="single" w:sz="6" w:space="0" w:color="auto"/>
              <w:right w:val="single" w:sz="6" w:space="0" w:color="auto"/>
            </w:tcBorders>
          </w:tcPr>
          <w:p w14:paraId="2517592C"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6" w:space="0" w:color="auto"/>
              <w:right w:val="single" w:sz="18" w:space="0" w:color="auto"/>
            </w:tcBorders>
          </w:tcPr>
          <w:p w14:paraId="0BC4B13F"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6" w:space="0" w:color="auto"/>
              <w:right w:val="single" w:sz="18" w:space="0" w:color="auto"/>
            </w:tcBorders>
          </w:tcPr>
          <w:p w14:paraId="13D08393" w14:textId="77777777" w:rsidR="00003C7A" w:rsidRDefault="00003C7A" w:rsidP="00252594">
            <w:pPr>
              <w:pStyle w:val="NormalWeb"/>
              <w:spacing w:before="0" w:after="0"/>
            </w:pPr>
          </w:p>
        </w:tc>
      </w:tr>
      <w:tr w:rsidR="00003C7A" w14:paraId="4ED8AD59"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5A68BB53" w14:textId="77777777" w:rsidR="00003C7A" w:rsidRDefault="00003C7A" w:rsidP="00252594">
            <w:pPr>
              <w:pStyle w:val="NormalWeb"/>
              <w:spacing w:before="0" w:after="0"/>
              <w:jc w:val="center"/>
              <w:rPr>
                <w:sz w:val="16"/>
                <w:szCs w:val="16"/>
              </w:rPr>
            </w:pPr>
            <w:r>
              <w:rPr>
                <w:sz w:val="16"/>
                <w:szCs w:val="16"/>
              </w:rPr>
              <w:t>(</w:t>
            </w:r>
            <w:proofErr w:type="gramStart"/>
            <w:r>
              <w:rPr>
                <w:sz w:val="16"/>
                <w:szCs w:val="16"/>
              </w:rPr>
              <w:t>i</w:t>
            </w:r>
            <w:proofErr w:type="gramEnd"/>
            <w:r>
              <w:rPr>
                <w:sz w:val="16"/>
                <w:szCs w:val="16"/>
              </w:rPr>
              <w:t>)</w:t>
            </w:r>
          </w:p>
        </w:tc>
        <w:tc>
          <w:tcPr>
            <w:tcW w:w="198" w:type="pct"/>
            <w:tcBorders>
              <w:top w:val="single" w:sz="6" w:space="0" w:color="auto"/>
              <w:left w:val="nil"/>
              <w:bottom w:val="single" w:sz="6" w:space="0" w:color="auto"/>
              <w:right w:val="nil"/>
            </w:tcBorders>
          </w:tcPr>
          <w:p w14:paraId="7EE73BAF"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07E9B54B" w14:textId="77777777" w:rsidR="00003C7A" w:rsidRDefault="00003C7A" w:rsidP="00252594">
            <w:pPr>
              <w:pStyle w:val="NormalWeb"/>
              <w:spacing w:before="0" w:after="0"/>
              <w:rPr>
                <w:sz w:val="16"/>
                <w:szCs w:val="16"/>
              </w:rPr>
            </w:pPr>
            <w:r>
              <w:rPr>
                <w:sz w:val="16"/>
                <w:szCs w:val="16"/>
              </w:rPr>
              <w:t xml:space="preserve">Frais financiers coques </w:t>
            </w:r>
          </w:p>
        </w:tc>
        <w:tc>
          <w:tcPr>
            <w:tcW w:w="573" w:type="pct"/>
            <w:tcBorders>
              <w:top w:val="single" w:sz="6" w:space="0" w:color="auto"/>
              <w:left w:val="single" w:sz="6" w:space="0" w:color="auto"/>
              <w:bottom w:val="single" w:sz="6" w:space="0" w:color="auto"/>
              <w:right w:val="single" w:sz="6" w:space="0" w:color="auto"/>
            </w:tcBorders>
          </w:tcPr>
          <w:p w14:paraId="4D52CF9A"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7CF32520"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16E44931" w14:textId="77777777" w:rsidR="00003C7A" w:rsidRDefault="00003C7A" w:rsidP="00252594">
            <w:pPr>
              <w:pStyle w:val="NormalWeb"/>
              <w:spacing w:before="0" w:after="0"/>
            </w:pPr>
          </w:p>
        </w:tc>
      </w:tr>
      <w:tr w:rsidR="00003C7A" w14:paraId="6E2C7ED8"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697F1349" w14:textId="77777777" w:rsidR="00003C7A" w:rsidRDefault="00003C7A" w:rsidP="00252594">
            <w:pPr>
              <w:pStyle w:val="NormalWeb"/>
              <w:spacing w:before="0" w:after="0"/>
              <w:jc w:val="center"/>
              <w:rPr>
                <w:sz w:val="16"/>
                <w:szCs w:val="16"/>
              </w:rPr>
            </w:pPr>
            <w:r>
              <w:rPr>
                <w:sz w:val="16"/>
                <w:szCs w:val="16"/>
              </w:rPr>
              <w:t>(</w:t>
            </w:r>
            <w:proofErr w:type="gramStart"/>
            <w:r>
              <w:rPr>
                <w:sz w:val="16"/>
                <w:szCs w:val="16"/>
              </w:rPr>
              <w:t>i</w:t>
            </w:r>
            <w:proofErr w:type="gramEnd"/>
            <w:r>
              <w:rPr>
                <w:sz w:val="16"/>
                <w:szCs w:val="16"/>
              </w:rPr>
              <w:t>)</w:t>
            </w:r>
          </w:p>
        </w:tc>
        <w:tc>
          <w:tcPr>
            <w:tcW w:w="198" w:type="pct"/>
            <w:tcBorders>
              <w:top w:val="single" w:sz="6" w:space="0" w:color="auto"/>
              <w:left w:val="nil"/>
              <w:bottom w:val="single" w:sz="6" w:space="0" w:color="auto"/>
              <w:right w:val="nil"/>
            </w:tcBorders>
          </w:tcPr>
          <w:p w14:paraId="4B13BD32"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4F4E13A9" w14:textId="77777777" w:rsidR="00003C7A" w:rsidRDefault="00003C7A" w:rsidP="00252594">
            <w:pPr>
              <w:pStyle w:val="NormalWeb"/>
              <w:spacing w:before="0" w:after="0"/>
              <w:rPr>
                <w:sz w:val="16"/>
                <w:szCs w:val="16"/>
              </w:rPr>
            </w:pPr>
            <w:r>
              <w:rPr>
                <w:sz w:val="16"/>
                <w:szCs w:val="16"/>
              </w:rPr>
              <w:t>Amortissements coques</w:t>
            </w:r>
          </w:p>
        </w:tc>
        <w:tc>
          <w:tcPr>
            <w:tcW w:w="573" w:type="pct"/>
            <w:tcBorders>
              <w:top w:val="single" w:sz="6" w:space="0" w:color="auto"/>
              <w:left w:val="single" w:sz="6" w:space="0" w:color="auto"/>
              <w:bottom w:val="single" w:sz="6" w:space="0" w:color="auto"/>
              <w:right w:val="single" w:sz="6" w:space="0" w:color="auto"/>
            </w:tcBorders>
          </w:tcPr>
          <w:p w14:paraId="380D126F"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68890B1C"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6C7C0DDB" w14:textId="77777777" w:rsidR="00003C7A" w:rsidRDefault="00003C7A" w:rsidP="00252594">
            <w:pPr>
              <w:pStyle w:val="NormalWeb"/>
              <w:spacing w:before="0" w:after="0"/>
            </w:pPr>
          </w:p>
        </w:tc>
      </w:tr>
      <w:tr w:rsidR="00003C7A" w14:paraId="0152773C"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3C0B2113" w14:textId="77777777" w:rsidR="00003C7A" w:rsidRDefault="00003C7A" w:rsidP="00252594">
            <w:pPr>
              <w:pStyle w:val="NormalWeb"/>
              <w:spacing w:before="0" w:after="0"/>
              <w:jc w:val="center"/>
              <w:rPr>
                <w:sz w:val="16"/>
                <w:szCs w:val="16"/>
              </w:rPr>
            </w:pPr>
            <w:r>
              <w:rPr>
                <w:sz w:val="16"/>
                <w:szCs w:val="16"/>
              </w:rPr>
              <w:t>(</w:t>
            </w:r>
            <w:proofErr w:type="gramStart"/>
            <w:r>
              <w:rPr>
                <w:sz w:val="16"/>
                <w:szCs w:val="16"/>
              </w:rPr>
              <w:t>j</w:t>
            </w:r>
            <w:proofErr w:type="gramEnd"/>
            <w:r>
              <w:rPr>
                <w:sz w:val="16"/>
                <w:szCs w:val="16"/>
              </w:rPr>
              <w:t>)</w:t>
            </w:r>
          </w:p>
        </w:tc>
        <w:tc>
          <w:tcPr>
            <w:tcW w:w="198" w:type="pct"/>
            <w:tcBorders>
              <w:top w:val="single" w:sz="6" w:space="0" w:color="auto"/>
              <w:left w:val="nil"/>
              <w:bottom w:val="single" w:sz="6" w:space="0" w:color="auto"/>
              <w:right w:val="nil"/>
            </w:tcBorders>
          </w:tcPr>
          <w:p w14:paraId="1200B271"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3FCA590A" w14:textId="77777777" w:rsidR="00003C7A" w:rsidRDefault="00003C7A" w:rsidP="00252594">
            <w:pPr>
              <w:pStyle w:val="NormalWeb"/>
              <w:spacing w:before="0" w:after="0"/>
              <w:rPr>
                <w:sz w:val="16"/>
                <w:szCs w:val="16"/>
              </w:rPr>
            </w:pPr>
            <w:r>
              <w:rPr>
                <w:sz w:val="16"/>
                <w:szCs w:val="16"/>
              </w:rPr>
              <w:t>Salaires, charges et frais d’équipage</w:t>
            </w:r>
          </w:p>
        </w:tc>
        <w:tc>
          <w:tcPr>
            <w:tcW w:w="573" w:type="pct"/>
            <w:tcBorders>
              <w:top w:val="single" w:sz="6" w:space="0" w:color="auto"/>
              <w:left w:val="single" w:sz="6" w:space="0" w:color="auto"/>
              <w:bottom w:val="single" w:sz="6" w:space="0" w:color="auto"/>
              <w:right w:val="single" w:sz="6" w:space="0" w:color="auto"/>
            </w:tcBorders>
          </w:tcPr>
          <w:p w14:paraId="71D2619C"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2EF7841A"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6893989C" w14:textId="77777777" w:rsidR="00003C7A" w:rsidRDefault="00003C7A" w:rsidP="00252594">
            <w:pPr>
              <w:pStyle w:val="NormalWeb"/>
              <w:spacing w:before="0" w:after="0"/>
            </w:pPr>
          </w:p>
        </w:tc>
      </w:tr>
      <w:tr w:rsidR="00003C7A" w14:paraId="440BBAB5"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53B4F51D" w14:textId="77777777" w:rsidR="00003C7A" w:rsidRDefault="00003C7A" w:rsidP="00252594">
            <w:pPr>
              <w:pStyle w:val="NormalWeb"/>
              <w:spacing w:before="0" w:after="0"/>
              <w:jc w:val="center"/>
              <w:rPr>
                <w:sz w:val="16"/>
                <w:szCs w:val="16"/>
              </w:rPr>
            </w:pPr>
          </w:p>
        </w:tc>
        <w:tc>
          <w:tcPr>
            <w:tcW w:w="198" w:type="pct"/>
            <w:tcBorders>
              <w:top w:val="single" w:sz="6" w:space="0" w:color="auto"/>
              <w:left w:val="nil"/>
              <w:bottom w:val="single" w:sz="6" w:space="0" w:color="auto"/>
              <w:right w:val="nil"/>
            </w:tcBorders>
          </w:tcPr>
          <w:p w14:paraId="602C3BD7"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1C009866" w14:textId="77777777" w:rsidR="00003C7A" w:rsidRDefault="00003C7A" w:rsidP="00252594">
            <w:pPr>
              <w:pStyle w:val="NormalWeb"/>
              <w:spacing w:before="0" w:after="0"/>
              <w:rPr>
                <w:sz w:val="16"/>
                <w:szCs w:val="16"/>
              </w:rPr>
            </w:pPr>
            <w:r>
              <w:rPr>
                <w:sz w:val="16"/>
                <w:szCs w:val="16"/>
              </w:rPr>
              <w:t>Entretien (y compris provisions gros entretien)</w:t>
            </w:r>
          </w:p>
        </w:tc>
        <w:tc>
          <w:tcPr>
            <w:tcW w:w="573" w:type="pct"/>
            <w:tcBorders>
              <w:top w:val="single" w:sz="6" w:space="0" w:color="auto"/>
              <w:left w:val="single" w:sz="6" w:space="0" w:color="auto"/>
              <w:bottom w:val="single" w:sz="6" w:space="0" w:color="auto"/>
              <w:right w:val="single" w:sz="6" w:space="0" w:color="auto"/>
            </w:tcBorders>
          </w:tcPr>
          <w:p w14:paraId="7411ECA8"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6EB0DFCA"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128644D8" w14:textId="77777777" w:rsidR="00003C7A" w:rsidRDefault="00003C7A" w:rsidP="00252594">
            <w:pPr>
              <w:pStyle w:val="NormalWeb"/>
              <w:spacing w:before="0" w:after="0"/>
            </w:pPr>
          </w:p>
        </w:tc>
      </w:tr>
      <w:tr w:rsidR="00003C7A" w14:paraId="72BC8609"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110679FD" w14:textId="77777777" w:rsidR="00003C7A" w:rsidRDefault="00003C7A" w:rsidP="00252594">
            <w:pPr>
              <w:pStyle w:val="NormalWeb"/>
              <w:spacing w:before="0" w:after="0"/>
              <w:jc w:val="center"/>
              <w:rPr>
                <w:sz w:val="16"/>
                <w:szCs w:val="16"/>
              </w:rPr>
            </w:pPr>
          </w:p>
        </w:tc>
        <w:tc>
          <w:tcPr>
            <w:tcW w:w="198" w:type="pct"/>
            <w:tcBorders>
              <w:top w:val="single" w:sz="6" w:space="0" w:color="auto"/>
              <w:left w:val="nil"/>
              <w:bottom w:val="single" w:sz="6" w:space="0" w:color="auto"/>
              <w:right w:val="nil"/>
            </w:tcBorders>
          </w:tcPr>
          <w:p w14:paraId="40829648"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6CCC2AE9" w14:textId="77777777" w:rsidR="00003C7A" w:rsidRDefault="00003C7A" w:rsidP="00252594">
            <w:pPr>
              <w:pStyle w:val="NormalWeb"/>
              <w:spacing w:before="0" w:after="0"/>
              <w:rPr>
                <w:sz w:val="16"/>
                <w:szCs w:val="16"/>
              </w:rPr>
            </w:pPr>
            <w:r>
              <w:rPr>
                <w:sz w:val="16"/>
                <w:szCs w:val="16"/>
              </w:rPr>
              <w:t>Assurances coques, passagers, dommages aux tiers</w:t>
            </w:r>
          </w:p>
        </w:tc>
        <w:tc>
          <w:tcPr>
            <w:tcW w:w="573" w:type="pct"/>
            <w:tcBorders>
              <w:top w:val="single" w:sz="6" w:space="0" w:color="auto"/>
              <w:left w:val="single" w:sz="6" w:space="0" w:color="auto"/>
              <w:bottom w:val="single" w:sz="6" w:space="0" w:color="auto"/>
              <w:right w:val="single" w:sz="6" w:space="0" w:color="auto"/>
            </w:tcBorders>
          </w:tcPr>
          <w:p w14:paraId="1230BA28"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726245A7"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3F170F8E" w14:textId="77777777" w:rsidR="00003C7A" w:rsidRDefault="00003C7A" w:rsidP="00252594">
            <w:pPr>
              <w:pStyle w:val="NormalWeb"/>
              <w:spacing w:before="0" w:after="0"/>
            </w:pPr>
          </w:p>
        </w:tc>
      </w:tr>
      <w:tr w:rsidR="00003C7A" w14:paraId="31423C1A"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456F041A" w14:textId="77777777" w:rsidR="00003C7A" w:rsidRDefault="00003C7A" w:rsidP="00252594">
            <w:pPr>
              <w:pStyle w:val="NormalWeb"/>
              <w:spacing w:before="0" w:after="0"/>
              <w:jc w:val="center"/>
              <w:rPr>
                <w:sz w:val="16"/>
                <w:szCs w:val="16"/>
              </w:rPr>
            </w:pPr>
            <w:r>
              <w:rPr>
                <w:sz w:val="16"/>
                <w:szCs w:val="16"/>
              </w:rPr>
              <w:t>(</w:t>
            </w:r>
            <w:proofErr w:type="gramStart"/>
            <w:r>
              <w:rPr>
                <w:sz w:val="16"/>
                <w:szCs w:val="16"/>
              </w:rPr>
              <w:t>k</w:t>
            </w:r>
            <w:proofErr w:type="gramEnd"/>
            <w:r>
              <w:rPr>
                <w:sz w:val="16"/>
                <w:szCs w:val="16"/>
              </w:rPr>
              <w:t>)</w:t>
            </w:r>
          </w:p>
        </w:tc>
        <w:tc>
          <w:tcPr>
            <w:tcW w:w="198" w:type="pct"/>
            <w:tcBorders>
              <w:top w:val="single" w:sz="6" w:space="0" w:color="auto"/>
              <w:left w:val="nil"/>
              <w:bottom w:val="single" w:sz="6" w:space="0" w:color="auto"/>
              <w:right w:val="nil"/>
            </w:tcBorders>
          </w:tcPr>
          <w:p w14:paraId="4EFD2499"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6071E28A" w14:textId="77777777" w:rsidR="00003C7A" w:rsidRDefault="00003C7A" w:rsidP="00252594">
            <w:pPr>
              <w:pStyle w:val="NormalWeb"/>
              <w:spacing w:before="0" w:after="0"/>
              <w:rPr>
                <w:sz w:val="16"/>
                <w:szCs w:val="16"/>
              </w:rPr>
            </w:pPr>
            <w:r>
              <w:rPr>
                <w:sz w:val="16"/>
                <w:szCs w:val="16"/>
              </w:rPr>
              <w:t>Frais d’affrètements</w:t>
            </w:r>
          </w:p>
        </w:tc>
        <w:tc>
          <w:tcPr>
            <w:tcW w:w="573" w:type="pct"/>
            <w:tcBorders>
              <w:top w:val="single" w:sz="6" w:space="0" w:color="auto"/>
              <w:left w:val="single" w:sz="6" w:space="0" w:color="auto"/>
              <w:bottom w:val="single" w:sz="6" w:space="0" w:color="auto"/>
              <w:right w:val="single" w:sz="6" w:space="0" w:color="auto"/>
            </w:tcBorders>
          </w:tcPr>
          <w:p w14:paraId="5BEDDC48"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4F28A7F9"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65C0D1EC" w14:textId="77777777" w:rsidR="00003C7A" w:rsidRDefault="00003C7A" w:rsidP="00252594">
            <w:pPr>
              <w:pStyle w:val="NormalWeb"/>
              <w:spacing w:before="0" w:after="0"/>
            </w:pPr>
          </w:p>
        </w:tc>
      </w:tr>
      <w:tr w:rsidR="00003C7A" w14:paraId="384B45BC"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55088477" w14:textId="77777777" w:rsidR="00003C7A" w:rsidRDefault="00003C7A" w:rsidP="00252594">
            <w:pPr>
              <w:pStyle w:val="NormalWeb"/>
              <w:spacing w:before="0" w:after="0"/>
              <w:jc w:val="center"/>
              <w:rPr>
                <w:sz w:val="16"/>
                <w:szCs w:val="16"/>
              </w:rPr>
            </w:pPr>
          </w:p>
        </w:tc>
        <w:tc>
          <w:tcPr>
            <w:tcW w:w="198" w:type="pct"/>
            <w:tcBorders>
              <w:top w:val="single" w:sz="6" w:space="0" w:color="auto"/>
              <w:left w:val="nil"/>
              <w:bottom w:val="single" w:sz="6" w:space="0" w:color="auto"/>
              <w:right w:val="nil"/>
            </w:tcBorders>
          </w:tcPr>
          <w:p w14:paraId="42CEACF6" w14:textId="77777777" w:rsidR="00003C7A" w:rsidRDefault="00003C7A" w:rsidP="00252594">
            <w:pPr>
              <w:pStyle w:val="NormalWeb"/>
              <w:spacing w:before="0" w:after="0"/>
              <w:jc w:val="center"/>
              <w:rPr>
                <w:sz w:val="16"/>
                <w:szCs w:val="16"/>
              </w:rPr>
            </w:pPr>
          </w:p>
          <w:p w14:paraId="0DCE2A25" w14:textId="77777777" w:rsidR="00003C7A" w:rsidRDefault="00003C7A" w:rsidP="00252594">
            <w:pPr>
              <w:pStyle w:val="NormalWeb"/>
              <w:spacing w:before="0" w:after="0"/>
              <w:jc w:val="center"/>
              <w:rPr>
                <w:sz w:val="16"/>
                <w:szCs w:val="16"/>
              </w:rPr>
            </w:pPr>
          </w:p>
        </w:tc>
        <w:tc>
          <w:tcPr>
            <w:tcW w:w="2785" w:type="pct"/>
            <w:tcBorders>
              <w:top w:val="single" w:sz="6" w:space="0" w:color="auto"/>
              <w:left w:val="nil"/>
              <w:bottom w:val="single" w:sz="6" w:space="0" w:color="auto"/>
              <w:right w:val="single" w:sz="18" w:space="0" w:color="auto"/>
            </w:tcBorders>
            <w:vAlign w:val="center"/>
          </w:tcPr>
          <w:p w14:paraId="39337993" w14:textId="77777777" w:rsidR="00003C7A" w:rsidRDefault="00003C7A" w:rsidP="00252594">
            <w:pPr>
              <w:pStyle w:val="NormalWeb"/>
              <w:spacing w:before="0" w:after="0"/>
              <w:rPr>
                <w:sz w:val="16"/>
                <w:szCs w:val="16"/>
              </w:rPr>
            </w:pPr>
          </w:p>
        </w:tc>
        <w:tc>
          <w:tcPr>
            <w:tcW w:w="573" w:type="pct"/>
            <w:tcBorders>
              <w:top w:val="single" w:sz="6" w:space="0" w:color="auto"/>
              <w:left w:val="single" w:sz="6" w:space="0" w:color="auto"/>
              <w:bottom w:val="single" w:sz="6" w:space="0" w:color="auto"/>
              <w:right w:val="single" w:sz="6" w:space="0" w:color="auto"/>
            </w:tcBorders>
          </w:tcPr>
          <w:p w14:paraId="54D2BB1A"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3360A452"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1D8CA965" w14:textId="77777777" w:rsidR="00003C7A" w:rsidRDefault="00003C7A" w:rsidP="00252594">
            <w:pPr>
              <w:pStyle w:val="NormalWeb"/>
              <w:spacing w:before="0" w:after="0"/>
            </w:pPr>
          </w:p>
        </w:tc>
      </w:tr>
      <w:tr w:rsidR="00003C7A" w14:paraId="0164D3F7"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3ABF000F" w14:textId="77777777" w:rsidR="00003C7A" w:rsidRDefault="00003C7A" w:rsidP="00252594">
            <w:pPr>
              <w:pStyle w:val="NormalWeb"/>
              <w:spacing w:before="0" w:after="0"/>
              <w:jc w:val="center"/>
              <w:rPr>
                <w:sz w:val="16"/>
                <w:szCs w:val="16"/>
              </w:rPr>
            </w:pPr>
          </w:p>
        </w:tc>
        <w:tc>
          <w:tcPr>
            <w:tcW w:w="198" w:type="pct"/>
            <w:tcBorders>
              <w:top w:val="single" w:sz="6" w:space="0" w:color="auto"/>
              <w:left w:val="nil"/>
              <w:bottom w:val="single" w:sz="6" w:space="0" w:color="auto"/>
              <w:right w:val="nil"/>
            </w:tcBorders>
          </w:tcPr>
          <w:p w14:paraId="4C721338"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4F582808" w14:textId="77777777" w:rsidR="00003C7A" w:rsidRDefault="00003C7A" w:rsidP="00252594">
            <w:pPr>
              <w:pStyle w:val="NormalWeb"/>
              <w:spacing w:before="0" w:after="0"/>
              <w:rPr>
                <w:sz w:val="16"/>
                <w:szCs w:val="16"/>
              </w:rPr>
            </w:pPr>
            <w:r>
              <w:rPr>
                <w:sz w:val="16"/>
                <w:szCs w:val="16"/>
              </w:rPr>
              <w:t>Carburants avion</w:t>
            </w:r>
          </w:p>
        </w:tc>
        <w:tc>
          <w:tcPr>
            <w:tcW w:w="573" w:type="pct"/>
            <w:tcBorders>
              <w:top w:val="single" w:sz="6" w:space="0" w:color="auto"/>
              <w:left w:val="single" w:sz="6" w:space="0" w:color="auto"/>
              <w:bottom w:val="single" w:sz="6" w:space="0" w:color="auto"/>
              <w:right w:val="single" w:sz="6" w:space="0" w:color="auto"/>
            </w:tcBorders>
          </w:tcPr>
          <w:p w14:paraId="3D02299F"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1703953A"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7F808B16" w14:textId="77777777" w:rsidR="00003C7A" w:rsidRDefault="00003C7A" w:rsidP="00252594">
            <w:pPr>
              <w:pStyle w:val="NormalWeb"/>
              <w:spacing w:before="0" w:after="0"/>
            </w:pPr>
          </w:p>
        </w:tc>
      </w:tr>
      <w:tr w:rsidR="00003C7A" w14:paraId="1B594F0B"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14245FB5" w14:textId="77777777" w:rsidR="00003C7A" w:rsidRDefault="00003C7A" w:rsidP="00252594">
            <w:pPr>
              <w:pStyle w:val="NormalWeb"/>
              <w:spacing w:before="0" w:after="0"/>
              <w:jc w:val="center"/>
              <w:rPr>
                <w:sz w:val="16"/>
                <w:szCs w:val="16"/>
              </w:rPr>
            </w:pPr>
          </w:p>
        </w:tc>
        <w:tc>
          <w:tcPr>
            <w:tcW w:w="198" w:type="pct"/>
            <w:tcBorders>
              <w:top w:val="single" w:sz="6" w:space="0" w:color="auto"/>
              <w:left w:val="nil"/>
              <w:bottom w:val="single" w:sz="6" w:space="0" w:color="auto"/>
              <w:right w:val="nil"/>
            </w:tcBorders>
          </w:tcPr>
          <w:p w14:paraId="52786657"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6FFAF6CD" w14:textId="77777777" w:rsidR="00003C7A" w:rsidRDefault="00003C7A" w:rsidP="00252594">
            <w:pPr>
              <w:pStyle w:val="NormalWeb"/>
              <w:spacing w:before="0" w:after="0"/>
              <w:rPr>
                <w:sz w:val="16"/>
                <w:szCs w:val="16"/>
              </w:rPr>
            </w:pPr>
            <w:r>
              <w:rPr>
                <w:sz w:val="16"/>
                <w:szCs w:val="16"/>
              </w:rPr>
              <w:t>Commissariat</w:t>
            </w:r>
          </w:p>
        </w:tc>
        <w:tc>
          <w:tcPr>
            <w:tcW w:w="573" w:type="pct"/>
            <w:tcBorders>
              <w:top w:val="single" w:sz="6" w:space="0" w:color="auto"/>
              <w:left w:val="single" w:sz="6" w:space="0" w:color="auto"/>
              <w:bottom w:val="single" w:sz="6" w:space="0" w:color="auto"/>
              <w:right w:val="single" w:sz="6" w:space="0" w:color="auto"/>
            </w:tcBorders>
          </w:tcPr>
          <w:p w14:paraId="30D74C80"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4E9E9E45"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362A99C1" w14:textId="77777777" w:rsidR="00003C7A" w:rsidRDefault="00003C7A" w:rsidP="00252594">
            <w:pPr>
              <w:pStyle w:val="NormalWeb"/>
              <w:spacing w:before="0" w:after="0"/>
            </w:pPr>
          </w:p>
        </w:tc>
      </w:tr>
      <w:tr w:rsidR="00003C7A" w14:paraId="128E9653"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4C3A08E0" w14:textId="77777777" w:rsidR="00003C7A" w:rsidRDefault="00003C7A" w:rsidP="00252594">
            <w:pPr>
              <w:pStyle w:val="NormalWeb"/>
              <w:spacing w:before="0" w:after="0"/>
              <w:jc w:val="center"/>
              <w:rPr>
                <w:sz w:val="16"/>
                <w:szCs w:val="16"/>
              </w:rPr>
            </w:pPr>
          </w:p>
        </w:tc>
        <w:tc>
          <w:tcPr>
            <w:tcW w:w="198" w:type="pct"/>
            <w:tcBorders>
              <w:top w:val="single" w:sz="6" w:space="0" w:color="auto"/>
              <w:left w:val="nil"/>
              <w:bottom w:val="single" w:sz="6" w:space="0" w:color="auto"/>
              <w:right w:val="nil"/>
            </w:tcBorders>
          </w:tcPr>
          <w:p w14:paraId="697355D6" w14:textId="77777777" w:rsidR="00003C7A" w:rsidRDefault="00003C7A" w:rsidP="00252594">
            <w:pPr>
              <w:pStyle w:val="NormalWeb"/>
              <w:spacing w:before="0" w:after="0"/>
              <w:jc w:val="center"/>
              <w:rPr>
                <w:sz w:val="16"/>
                <w:szCs w:val="16"/>
              </w:rPr>
            </w:pPr>
          </w:p>
        </w:tc>
        <w:tc>
          <w:tcPr>
            <w:tcW w:w="2785" w:type="pct"/>
            <w:tcBorders>
              <w:top w:val="single" w:sz="6" w:space="0" w:color="auto"/>
              <w:left w:val="nil"/>
              <w:bottom w:val="single" w:sz="6" w:space="0" w:color="auto"/>
              <w:right w:val="single" w:sz="18" w:space="0" w:color="auto"/>
            </w:tcBorders>
            <w:vAlign w:val="center"/>
          </w:tcPr>
          <w:p w14:paraId="08B0D221" w14:textId="77777777" w:rsidR="00003C7A" w:rsidRDefault="00003C7A" w:rsidP="00252594">
            <w:pPr>
              <w:pStyle w:val="NormalWeb"/>
              <w:spacing w:before="0" w:after="0"/>
              <w:rPr>
                <w:sz w:val="16"/>
                <w:szCs w:val="16"/>
              </w:rPr>
            </w:pPr>
          </w:p>
        </w:tc>
        <w:tc>
          <w:tcPr>
            <w:tcW w:w="573" w:type="pct"/>
            <w:tcBorders>
              <w:top w:val="single" w:sz="6" w:space="0" w:color="auto"/>
              <w:left w:val="single" w:sz="6" w:space="0" w:color="auto"/>
              <w:bottom w:val="single" w:sz="6" w:space="0" w:color="auto"/>
              <w:right w:val="single" w:sz="6" w:space="0" w:color="auto"/>
            </w:tcBorders>
          </w:tcPr>
          <w:p w14:paraId="1C34CAC6"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3053D185"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1A999FA7" w14:textId="77777777" w:rsidR="00003C7A" w:rsidRDefault="00003C7A" w:rsidP="00252594">
            <w:pPr>
              <w:pStyle w:val="NormalWeb"/>
              <w:spacing w:before="0" w:after="0"/>
            </w:pPr>
          </w:p>
        </w:tc>
      </w:tr>
      <w:tr w:rsidR="00003C7A" w14:paraId="20193E59"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03299AAA" w14:textId="77777777" w:rsidR="00003C7A" w:rsidRDefault="00003C7A" w:rsidP="00252594">
            <w:pPr>
              <w:pStyle w:val="NormalWeb"/>
              <w:spacing w:before="0" w:after="0"/>
              <w:jc w:val="center"/>
              <w:rPr>
                <w:sz w:val="16"/>
                <w:szCs w:val="16"/>
              </w:rPr>
            </w:pPr>
            <w:r>
              <w:rPr>
                <w:sz w:val="16"/>
                <w:szCs w:val="16"/>
              </w:rPr>
              <w:t>(</w:t>
            </w:r>
            <w:proofErr w:type="gramStart"/>
            <w:r>
              <w:rPr>
                <w:sz w:val="16"/>
                <w:szCs w:val="16"/>
              </w:rPr>
              <w:t>l</w:t>
            </w:r>
            <w:proofErr w:type="gramEnd"/>
            <w:r>
              <w:rPr>
                <w:sz w:val="16"/>
                <w:szCs w:val="16"/>
              </w:rPr>
              <w:t>)</w:t>
            </w:r>
          </w:p>
        </w:tc>
        <w:tc>
          <w:tcPr>
            <w:tcW w:w="198" w:type="pct"/>
            <w:tcBorders>
              <w:top w:val="single" w:sz="6" w:space="0" w:color="auto"/>
              <w:left w:val="nil"/>
              <w:bottom w:val="single" w:sz="6" w:space="0" w:color="auto"/>
              <w:right w:val="nil"/>
            </w:tcBorders>
          </w:tcPr>
          <w:p w14:paraId="6E1F1B2F"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3A62D975" w14:textId="77777777" w:rsidR="00003C7A" w:rsidRDefault="00003C7A" w:rsidP="00252594">
            <w:pPr>
              <w:pStyle w:val="NormalWeb"/>
              <w:spacing w:before="0" w:after="0"/>
              <w:rPr>
                <w:sz w:val="16"/>
                <w:szCs w:val="16"/>
              </w:rPr>
            </w:pPr>
            <w:r>
              <w:rPr>
                <w:sz w:val="16"/>
                <w:szCs w:val="16"/>
              </w:rPr>
              <w:t>Redevances de navigation aérienne</w:t>
            </w:r>
          </w:p>
        </w:tc>
        <w:tc>
          <w:tcPr>
            <w:tcW w:w="573" w:type="pct"/>
            <w:tcBorders>
              <w:top w:val="single" w:sz="6" w:space="0" w:color="auto"/>
              <w:left w:val="single" w:sz="6" w:space="0" w:color="auto"/>
              <w:bottom w:val="single" w:sz="6" w:space="0" w:color="auto"/>
              <w:right w:val="single" w:sz="6" w:space="0" w:color="auto"/>
            </w:tcBorders>
          </w:tcPr>
          <w:p w14:paraId="2D0024FE"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7997EB3A"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542810CC" w14:textId="77777777" w:rsidR="00003C7A" w:rsidRDefault="00003C7A" w:rsidP="00252594">
            <w:pPr>
              <w:pStyle w:val="NormalWeb"/>
              <w:spacing w:before="0" w:after="0"/>
            </w:pPr>
          </w:p>
        </w:tc>
      </w:tr>
      <w:tr w:rsidR="00003C7A" w14:paraId="389639C8"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0379A6D1" w14:textId="77777777" w:rsidR="00003C7A" w:rsidRDefault="00003C7A" w:rsidP="00252594">
            <w:pPr>
              <w:pStyle w:val="NormalWeb"/>
              <w:spacing w:before="0" w:after="0"/>
              <w:jc w:val="center"/>
              <w:rPr>
                <w:sz w:val="16"/>
                <w:szCs w:val="16"/>
              </w:rPr>
            </w:pPr>
          </w:p>
        </w:tc>
        <w:tc>
          <w:tcPr>
            <w:tcW w:w="198" w:type="pct"/>
            <w:tcBorders>
              <w:top w:val="single" w:sz="6" w:space="0" w:color="auto"/>
              <w:left w:val="nil"/>
              <w:bottom w:val="single" w:sz="6" w:space="0" w:color="auto"/>
              <w:right w:val="nil"/>
            </w:tcBorders>
          </w:tcPr>
          <w:p w14:paraId="6D01422A"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645445D5" w14:textId="77777777" w:rsidR="00003C7A" w:rsidRDefault="00003C7A" w:rsidP="00252594">
            <w:pPr>
              <w:pStyle w:val="NormalWeb"/>
              <w:spacing w:before="0" w:after="0"/>
              <w:rPr>
                <w:sz w:val="16"/>
                <w:szCs w:val="16"/>
              </w:rPr>
            </w:pPr>
            <w:r>
              <w:rPr>
                <w:sz w:val="16"/>
                <w:szCs w:val="16"/>
              </w:rPr>
              <w:t>Redevances aéroportuaires et passagers</w:t>
            </w:r>
          </w:p>
        </w:tc>
        <w:tc>
          <w:tcPr>
            <w:tcW w:w="573" w:type="pct"/>
            <w:tcBorders>
              <w:top w:val="single" w:sz="6" w:space="0" w:color="auto"/>
              <w:left w:val="single" w:sz="6" w:space="0" w:color="auto"/>
              <w:bottom w:val="single" w:sz="6" w:space="0" w:color="auto"/>
              <w:right w:val="single" w:sz="6" w:space="0" w:color="auto"/>
            </w:tcBorders>
          </w:tcPr>
          <w:p w14:paraId="1BB145FA"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7AD657EA"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0BF7B2E2" w14:textId="77777777" w:rsidR="00003C7A" w:rsidRDefault="00003C7A" w:rsidP="00252594">
            <w:pPr>
              <w:pStyle w:val="NormalWeb"/>
              <w:spacing w:before="0" w:after="0"/>
            </w:pPr>
          </w:p>
        </w:tc>
      </w:tr>
      <w:tr w:rsidR="00003C7A" w14:paraId="68EFD442"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7633718A" w14:textId="77777777" w:rsidR="00003C7A" w:rsidRDefault="00003C7A" w:rsidP="00252594">
            <w:pPr>
              <w:pStyle w:val="NormalWeb"/>
              <w:spacing w:before="0" w:after="0"/>
              <w:jc w:val="center"/>
              <w:rPr>
                <w:sz w:val="16"/>
                <w:szCs w:val="16"/>
              </w:rPr>
            </w:pPr>
          </w:p>
        </w:tc>
        <w:tc>
          <w:tcPr>
            <w:tcW w:w="198" w:type="pct"/>
            <w:tcBorders>
              <w:top w:val="single" w:sz="6" w:space="0" w:color="auto"/>
              <w:left w:val="nil"/>
              <w:bottom w:val="single" w:sz="6" w:space="0" w:color="auto"/>
              <w:right w:val="nil"/>
            </w:tcBorders>
          </w:tcPr>
          <w:p w14:paraId="2E97AAB4"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0B7C80B4" w14:textId="77777777" w:rsidR="00003C7A" w:rsidRDefault="00003C7A" w:rsidP="00252594">
            <w:pPr>
              <w:pStyle w:val="NormalWeb"/>
              <w:spacing w:before="0" w:after="0"/>
              <w:rPr>
                <w:sz w:val="16"/>
                <w:szCs w:val="16"/>
              </w:rPr>
            </w:pPr>
            <w:r>
              <w:rPr>
                <w:sz w:val="16"/>
                <w:szCs w:val="16"/>
              </w:rPr>
              <w:t>Frais d’assistance en escale</w:t>
            </w:r>
          </w:p>
        </w:tc>
        <w:tc>
          <w:tcPr>
            <w:tcW w:w="573" w:type="pct"/>
            <w:tcBorders>
              <w:top w:val="single" w:sz="6" w:space="0" w:color="auto"/>
              <w:left w:val="single" w:sz="6" w:space="0" w:color="auto"/>
              <w:bottom w:val="single" w:sz="6" w:space="0" w:color="auto"/>
              <w:right w:val="single" w:sz="6" w:space="0" w:color="auto"/>
            </w:tcBorders>
          </w:tcPr>
          <w:p w14:paraId="4B79F128"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20256632"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55CE5DC3" w14:textId="77777777" w:rsidR="00003C7A" w:rsidRDefault="00003C7A" w:rsidP="00252594">
            <w:pPr>
              <w:pStyle w:val="NormalWeb"/>
              <w:spacing w:before="0" w:after="0"/>
            </w:pPr>
          </w:p>
        </w:tc>
      </w:tr>
      <w:tr w:rsidR="00003C7A" w14:paraId="5A70B663"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53AEE0AF" w14:textId="77777777" w:rsidR="00003C7A" w:rsidRDefault="00003C7A" w:rsidP="00252594">
            <w:pPr>
              <w:pStyle w:val="NormalWeb"/>
              <w:spacing w:before="0" w:after="0"/>
              <w:jc w:val="center"/>
              <w:rPr>
                <w:sz w:val="16"/>
                <w:szCs w:val="16"/>
              </w:rPr>
            </w:pPr>
          </w:p>
        </w:tc>
        <w:tc>
          <w:tcPr>
            <w:tcW w:w="198" w:type="pct"/>
            <w:tcBorders>
              <w:top w:val="single" w:sz="6" w:space="0" w:color="auto"/>
              <w:left w:val="nil"/>
              <w:bottom w:val="single" w:sz="6" w:space="0" w:color="auto"/>
              <w:right w:val="nil"/>
            </w:tcBorders>
          </w:tcPr>
          <w:p w14:paraId="76EE8B50" w14:textId="77777777" w:rsidR="00003C7A" w:rsidRDefault="00003C7A" w:rsidP="00252594">
            <w:pPr>
              <w:pStyle w:val="NormalWeb"/>
              <w:spacing w:before="0" w:after="0"/>
              <w:jc w:val="center"/>
              <w:rPr>
                <w:sz w:val="16"/>
                <w:szCs w:val="16"/>
              </w:rPr>
            </w:pPr>
          </w:p>
        </w:tc>
        <w:tc>
          <w:tcPr>
            <w:tcW w:w="2785" w:type="pct"/>
            <w:tcBorders>
              <w:top w:val="single" w:sz="6" w:space="0" w:color="auto"/>
              <w:left w:val="nil"/>
              <w:bottom w:val="single" w:sz="6" w:space="0" w:color="auto"/>
              <w:right w:val="single" w:sz="18" w:space="0" w:color="auto"/>
            </w:tcBorders>
            <w:vAlign w:val="center"/>
          </w:tcPr>
          <w:p w14:paraId="386371ED" w14:textId="77777777" w:rsidR="00003C7A" w:rsidRDefault="00003C7A" w:rsidP="00252594">
            <w:pPr>
              <w:pStyle w:val="NormalWeb"/>
              <w:spacing w:before="0" w:after="0"/>
              <w:rPr>
                <w:sz w:val="16"/>
                <w:szCs w:val="16"/>
              </w:rPr>
            </w:pPr>
          </w:p>
        </w:tc>
        <w:tc>
          <w:tcPr>
            <w:tcW w:w="573" w:type="pct"/>
            <w:tcBorders>
              <w:top w:val="single" w:sz="6" w:space="0" w:color="auto"/>
              <w:left w:val="single" w:sz="6" w:space="0" w:color="auto"/>
              <w:bottom w:val="single" w:sz="6" w:space="0" w:color="auto"/>
              <w:right w:val="single" w:sz="6" w:space="0" w:color="auto"/>
            </w:tcBorders>
          </w:tcPr>
          <w:p w14:paraId="27791D3A"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6C62F6D6"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2BA4557F" w14:textId="77777777" w:rsidR="00003C7A" w:rsidRDefault="00003C7A" w:rsidP="00252594">
            <w:pPr>
              <w:pStyle w:val="NormalWeb"/>
              <w:spacing w:before="0" w:after="0"/>
            </w:pPr>
          </w:p>
        </w:tc>
      </w:tr>
      <w:tr w:rsidR="00003C7A" w14:paraId="08B7D5D2"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3111D838" w14:textId="77777777" w:rsidR="00003C7A" w:rsidRDefault="00003C7A" w:rsidP="00252594">
            <w:pPr>
              <w:pStyle w:val="NormalWeb"/>
              <w:spacing w:before="0" w:after="0"/>
              <w:jc w:val="center"/>
              <w:rPr>
                <w:sz w:val="16"/>
                <w:szCs w:val="16"/>
              </w:rPr>
            </w:pPr>
          </w:p>
        </w:tc>
        <w:tc>
          <w:tcPr>
            <w:tcW w:w="198" w:type="pct"/>
            <w:tcBorders>
              <w:top w:val="single" w:sz="6" w:space="0" w:color="auto"/>
              <w:left w:val="nil"/>
              <w:bottom w:val="single" w:sz="6" w:space="0" w:color="auto"/>
              <w:right w:val="nil"/>
            </w:tcBorders>
          </w:tcPr>
          <w:p w14:paraId="14A0B789"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74ADB86A" w14:textId="77777777" w:rsidR="00003C7A" w:rsidRDefault="00003C7A" w:rsidP="00252594">
            <w:pPr>
              <w:pStyle w:val="NormalWeb"/>
              <w:spacing w:before="0" w:after="0"/>
              <w:rPr>
                <w:sz w:val="16"/>
                <w:szCs w:val="16"/>
              </w:rPr>
            </w:pPr>
            <w:r>
              <w:rPr>
                <w:sz w:val="16"/>
                <w:szCs w:val="16"/>
              </w:rPr>
              <w:t>Frais de publicité de ligne</w:t>
            </w:r>
          </w:p>
        </w:tc>
        <w:tc>
          <w:tcPr>
            <w:tcW w:w="573" w:type="pct"/>
            <w:tcBorders>
              <w:top w:val="single" w:sz="6" w:space="0" w:color="auto"/>
              <w:left w:val="single" w:sz="6" w:space="0" w:color="auto"/>
              <w:bottom w:val="single" w:sz="6" w:space="0" w:color="auto"/>
              <w:right w:val="single" w:sz="6" w:space="0" w:color="auto"/>
            </w:tcBorders>
          </w:tcPr>
          <w:p w14:paraId="63C0263E"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5D87F894"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445840B9" w14:textId="77777777" w:rsidR="00003C7A" w:rsidRDefault="00003C7A" w:rsidP="00252594">
            <w:pPr>
              <w:pStyle w:val="NormalWeb"/>
              <w:spacing w:before="0" w:after="0"/>
            </w:pPr>
          </w:p>
        </w:tc>
      </w:tr>
      <w:tr w:rsidR="00003C7A" w14:paraId="5C51D57D"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0F92A040" w14:textId="77777777" w:rsidR="00003C7A" w:rsidRDefault="00003C7A" w:rsidP="00252594">
            <w:pPr>
              <w:pStyle w:val="NormalWeb"/>
              <w:spacing w:before="0" w:after="0"/>
              <w:jc w:val="center"/>
              <w:rPr>
                <w:sz w:val="16"/>
                <w:szCs w:val="16"/>
              </w:rPr>
            </w:pPr>
          </w:p>
        </w:tc>
        <w:tc>
          <w:tcPr>
            <w:tcW w:w="198" w:type="pct"/>
            <w:tcBorders>
              <w:top w:val="single" w:sz="6" w:space="0" w:color="auto"/>
              <w:left w:val="nil"/>
              <w:bottom w:val="single" w:sz="6" w:space="0" w:color="auto"/>
              <w:right w:val="nil"/>
            </w:tcBorders>
          </w:tcPr>
          <w:p w14:paraId="071A6B41"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1B915257" w14:textId="77777777" w:rsidR="00003C7A" w:rsidRDefault="00003C7A" w:rsidP="00252594">
            <w:pPr>
              <w:pStyle w:val="NormalWeb"/>
              <w:spacing w:before="0" w:after="0"/>
              <w:rPr>
                <w:sz w:val="16"/>
                <w:szCs w:val="16"/>
              </w:rPr>
            </w:pPr>
            <w:r>
              <w:rPr>
                <w:sz w:val="16"/>
                <w:szCs w:val="16"/>
              </w:rPr>
              <w:t xml:space="preserve">Frais commerciaux </w:t>
            </w:r>
          </w:p>
        </w:tc>
        <w:tc>
          <w:tcPr>
            <w:tcW w:w="573" w:type="pct"/>
            <w:tcBorders>
              <w:top w:val="single" w:sz="6" w:space="0" w:color="auto"/>
              <w:left w:val="single" w:sz="6" w:space="0" w:color="auto"/>
              <w:bottom w:val="single" w:sz="6" w:space="0" w:color="auto"/>
              <w:right w:val="single" w:sz="6" w:space="0" w:color="auto"/>
            </w:tcBorders>
          </w:tcPr>
          <w:p w14:paraId="6376D2A7"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607C2A21"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16692F8C" w14:textId="77777777" w:rsidR="00003C7A" w:rsidRDefault="00003C7A" w:rsidP="00252594">
            <w:pPr>
              <w:pStyle w:val="NormalWeb"/>
              <w:spacing w:before="0" w:after="0"/>
            </w:pPr>
          </w:p>
        </w:tc>
      </w:tr>
      <w:tr w:rsidR="00003C7A" w14:paraId="39BA3A7F"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4A780F20" w14:textId="77777777" w:rsidR="00003C7A" w:rsidRDefault="00003C7A" w:rsidP="00252594">
            <w:pPr>
              <w:pStyle w:val="NormalWeb"/>
              <w:spacing w:before="0" w:after="0"/>
              <w:jc w:val="center"/>
              <w:rPr>
                <w:sz w:val="16"/>
                <w:szCs w:val="16"/>
              </w:rPr>
            </w:pPr>
            <w:r>
              <w:rPr>
                <w:sz w:val="16"/>
                <w:szCs w:val="16"/>
              </w:rPr>
              <w:t>(</w:t>
            </w:r>
            <w:proofErr w:type="gramStart"/>
            <w:r>
              <w:rPr>
                <w:sz w:val="16"/>
                <w:szCs w:val="16"/>
              </w:rPr>
              <w:t>m</w:t>
            </w:r>
            <w:proofErr w:type="gramEnd"/>
            <w:r>
              <w:rPr>
                <w:sz w:val="16"/>
                <w:szCs w:val="16"/>
              </w:rPr>
              <w:t>)</w:t>
            </w:r>
          </w:p>
        </w:tc>
        <w:tc>
          <w:tcPr>
            <w:tcW w:w="198" w:type="pct"/>
            <w:tcBorders>
              <w:top w:val="single" w:sz="6" w:space="0" w:color="auto"/>
              <w:left w:val="nil"/>
              <w:bottom w:val="single" w:sz="6" w:space="0" w:color="auto"/>
              <w:right w:val="nil"/>
            </w:tcBorders>
          </w:tcPr>
          <w:p w14:paraId="7AE91BFB"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5BE378D3" w14:textId="77777777" w:rsidR="00003C7A" w:rsidRDefault="00003C7A" w:rsidP="00252594">
            <w:pPr>
              <w:pStyle w:val="NormalWeb"/>
              <w:spacing w:before="0" w:after="0"/>
              <w:rPr>
                <w:sz w:val="16"/>
                <w:szCs w:val="16"/>
              </w:rPr>
            </w:pPr>
            <w:r>
              <w:rPr>
                <w:sz w:val="16"/>
                <w:szCs w:val="16"/>
              </w:rPr>
              <w:t>Frais généraux et de structure</w:t>
            </w:r>
          </w:p>
        </w:tc>
        <w:tc>
          <w:tcPr>
            <w:tcW w:w="573" w:type="pct"/>
            <w:tcBorders>
              <w:top w:val="single" w:sz="6" w:space="0" w:color="auto"/>
              <w:left w:val="single" w:sz="6" w:space="0" w:color="auto"/>
              <w:bottom w:val="single" w:sz="6" w:space="0" w:color="auto"/>
              <w:right w:val="single" w:sz="6" w:space="0" w:color="auto"/>
            </w:tcBorders>
          </w:tcPr>
          <w:p w14:paraId="30F24754"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59A71D15"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7B1397FA" w14:textId="77777777" w:rsidR="00003C7A" w:rsidRDefault="00003C7A" w:rsidP="00252594">
            <w:pPr>
              <w:pStyle w:val="NormalWeb"/>
              <w:spacing w:before="0" w:after="0"/>
            </w:pPr>
          </w:p>
        </w:tc>
      </w:tr>
      <w:tr w:rsidR="00003C7A" w14:paraId="06E7A47F" w14:textId="77777777" w:rsidTr="00003C7A">
        <w:trPr>
          <w:trHeight w:hRule="exact" w:val="284"/>
          <w:jc w:val="center"/>
        </w:trPr>
        <w:tc>
          <w:tcPr>
            <w:tcW w:w="298" w:type="pct"/>
            <w:tcBorders>
              <w:top w:val="single" w:sz="6" w:space="0" w:color="auto"/>
              <w:left w:val="single" w:sz="18" w:space="0" w:color="auto"/>
              <w:bottom w:val="single" w:sz="18" w:space="0" w:color="auto"/>
              <w:right w:val="nil"/>
            </w:tcBorders>
          </w:tcPr>
          <w:p w14:paraId="3862EA89" w14:textId="77777777" w:rsidR="00003C7A" w:rsidRDefault="00003C7A" w:rsidP="00252594">
            <w:pPr>
              <w:pStyle w:val="NormalWeb"/>
              <w:spacing w:before="0" w:after="0"/>
              <w:jc w:val="center"/>
              <w:rPr>
                <w:sz w:val="16"/>
                <w:szCs w:val="16"/>
              </w:rPr>
            </w:pPr>
            <w:r>
              <w:rPr>
                <w:sz w:val="16"/>
                <w:szCs w:val="16"/>
              </w:rPr>
              <w:t>(</w:t>
            </w:r>
            <w:proofErr w:type="gramStart"/>
            <w:r>
              <w:rPr>
                <w:sz w:val="16"/>
                <w:szCs w:val="16"/>
              </w:rPr>
              <w:t>m</w:t>
            </w:r>
            <w:proofErr w:type="gramEnd"/>
            <w:r>
              <w:rPr>
                <w:sz w:val="16"/>
                <w:szCs w:val="16"/>
              </w:rPr>
              <w:t>)</w:t>
            </w:r>
          </w:p>
        </w:tc>
        <w:tc>
          <w:tcPr>
            <w:tcW w:w="198" w:type="pct"/>
            <w:tcBorders>
              <w:top w:val="single" w:sz="6" w:space="0" w:color="auto"/>
              <w:left w:val="nil"/>
              <w:bottom w:val="single" w:sz="18" w:space="0" w:color="auto"/>
              <w:right w:val="nil"/>
            </w:tcBorders>
          </w:tcPr>
          <w:p w14:paraId="45CC5FCA"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18" w:space="0" w:color="auto"/>
              <w:right w:val="single" w:sz="18" w:space="0" w:color="auto"/>
            </w:tcBorders>
            <w:vAlign w:val="center"/>
          </w:tcPr>
          <w:p w14:paraId="4C838FF0" w14:textId="77777777" w:rsidR="00003C7A" w:rsidRDefault="00003C7A" w:rsidP="00252594">
            <w:pPr>
              <w:pStyle w:val="NormalWeb"/>
              <w:spacing w:before="0" w:after="0"/>
              <w:rPr>
                <w:sz w:val="16"/>
                <w:szCs w:val="16"/>
              </w:rPr>
            </w:pPr>
            <w:r>
              <w:rPr>
                <w:sz w:val="16"/>
                <w:szCs w:val="16"/>
              </w:rPr>
              <w:t>Autres et aléas</w:t>
            </w:r>
          </w:p>
        </w:tc>
        <w:tc>
          <w:tcPr>
            <w:tcW w:w="573" w:type="pct"/>
            <w:tcBorders>
              <w:top w:val="single" w:sz="6" w:space="0" w:color="auto"/>
              <w:left w:val="single" w:sz="6" w:space="0" w:color="auto"/>
              <w:bottom w:val="single" w:sz="6" w:space="0" w:color="auto"/>
              <w:right w:val="single" w:sz="6" w:space="0" w:color="auto"/>
            </w:tcBorders>
          </w:tcPr>
          <w:p w14:paraId="225D134F"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67BA7D50"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78664811" w14:textId="77777777" w:rsidR="00003C7A" w:rsidRDefault="00003C7A" w:rsidP="00252594">
            <w:pPr>
              <w:pStyle w:val="NormalWeb"/>
              <w:spacing w:before="0" w:after="0"/>
            </w:pPr>
          </w:p>
        </w:tc>
      </w:tr>
      <w:tr w:rsidR="00003C7A" w14:paraId="703CCA64" w14:textId="77777777" w:rsidTr="00003C7A">
        <w:trPr>
          <w:trHeight w:hRule="exact" w:val="284"/>
          <w:jc w:val="center"/>
        </w:trPr>
        <w:tc>
          <w:tcPr>
            <w:tcW w:w="298" w:type="pct"/>
            <w:tcBorders>
              <w:top w:val="single" w:sz="18" w:space="0" w:color="auto"/>
              <w:left w:val="single" w:sz="18" w:space="0" w:color="auto"/>
              <w:bottom w:val="single" w:sz="18" w:space="0" w:color="auto"/>
              <w:right w:val="nil"/>
            </w:tcBorders>
          </w:tcPr>
          <w:p w14:paraId="7F9E5A66" w14:textId="77777777" w:rsidR="00003C7A" w:rsidRDefault="00003C7A" w:rsidP="00252594">
            <w:pPr>
              <w:pStyle w:val="NormalWeb"/>
              <w:spacing w:before="0" w:after="0"/>
              <w:jc w:val="center"/>
              <w:rPr>
                <w:sz w:val="16"/>
                <w:szCs w:val="16"/>
              </w:rPr>
            </w:pPr>
          </w:p>
        </w:tc>
        <w:tc>
          <w:tcPr>
            <w:tcW w:w="198" w:type="pct"/>
            <w:tcBorders>
              <w:top w:val="single" w:sz="18" w:space="0" w:color="auto"/>
              <w:left w:val="nil"/>
              <w:bottom w:val="single" w:sz="18" w:space="0" w:color="auto"/>
              <w:right w:val="nil"/>
            </w:tcBorders>
          </w:tcPr>
          <w:p w14:paraId="78FEF915"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18" w:space="0" w:color="auto"/>
              <w:left w:val="nil"/>
              <w:bottom w:val="single" w:sz="18" w:space="0" w:color="auto"/>
              <w:right w:val="single" w:sz="18" w:space="0" w:color="auto"/>
            </w:tcBorders>
            <w:vAlign w:val="center"/>
          </w:tcPr>
          <w:p w14:paraId="68A6888C" w14:textId="77777777" w:rsidR="00003C7A" w:rsidRDefault="00003C7A" w:rsidP="00252594">
            <w:pPr>
              <w:pStyle w:val="NormalWeb"/>
              <w:spacing w:before="0" w:after="0"/>
              <w:rPr>
                <w:b/>
                <w:sz w:val="16"/>
                <w:szCs w:val="16"/>
              </w:rPr>
            </w:pPr>
            <w:r>
              <w:rPr>
                <w:b/>
                <w:sz w:val="16"/>
                <w:szCs w:val="16"/>
              </w:rPr>
              <w:t xml:space="preserve">Total des charges par période </w:t>
            </w:r>
          </w:p>
        </w:tc>
        <w:tc>
          <w:tcPr>
            <w:tcW w:w="573" w:type="pct"/>
            <w:tcBorders>
              <w:top w:val="single" w:sz="18" w:space="0" w:color="auto"/>
              <w:left w:val="single" w:sz="6" w:space="0" w:color="auto"/>
              <w:bottom w:val="single" w:sz="18" w:space="0" w:color="auto"/>
              <w:right w:val="single" w:sz="6" w:space="0" w:color="auto"/>
            </w:tcBorders>
          </w:tcPr>
          <w:p w14:paraId="13C451AA"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18" w:space="0" w:color="auto"/>
              <w:right w:val="single" w:sz="18" w:space="0" w:color="auto"/>
            </w:tcBorders>
          </w:tcPr>
          <w:p w14:paraId="6D7DA22C"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18" w:space="0" w:color="auto"/>
              <w:right w:val="single" w:sz="18" w:space="0" w:color="auto"/>
            </w:tcBorders>
          </w:tcPr>
          <w:p w14:paraId="07C373C4" w14:textId="77777777" w:rsidR="00003C7A" w:rsidRDefault="00003C7A" w:rsidP="00252594">
            <w:pPr>
              <w:pStyle w:val="NormalWeb"/>
              <w:spacing w:before="0" w:after="0"/>
            </w:pPr>
          </w:p>
        </w:tc>
      </w:tr>
      <w:tr w:rsidR="00003C7A" w14:paraId="66119894" w14:textId="77777777" w:rsidTr="00003C7A">
        <w:trPr>
          <w:trHeight w:hRule="exact" w:val="284"/>
          <w:jc w:val="center"/>
        </w:trPr>
        <w:tc>
          <w:tcPr>
            <w:tcW w:w="298" w:type="pct"/>
            <w:tcBorders>
              <w:top w:val="single" w:sz="18" w:space="0" w:color="auto"/>
              <w:left w:val="single" w:sz="18" w:space="0" w:color="auto"/>
              <w:bottom w:val="single" w:sz="6" w:space="0" w:color="auto"/>
              <w:right w:val="nil"/>
            </w:tcBorders>
          </w:tcPr>
          <w:p w14:paraId="672D5443" w14:textId="77777777" w:rsidR="00003C7A" w:rsidRDefault="00003C7A" w:rsidP="00252594">
            <w:pPr>
              <w:pStyle w:val="NormalWeb"/>
              <w:spacing w:before="0" w:after="0"/>
              <w:jc w:val="center"/>
              <w:rPr>
                <w:sz w:val="16"/>
                <w:szCs w:val="16"/>
              </w:rPr>
            </w:pPr>
          </w:p>
        </w:tc>
        <w:tc>
          <w:tcPr>
            <w:tcW w:w="198" w:type="pct"/>
            <w:tcBorders>
              <w:top w:val="single" w:sz="18" w:space="0" w:color="auto"/>
              <w:left w:val="nil"/>
              <w:bottom w:val="single" w:sz="6" w:space="0" w:color="auto"/>
              <w:right w:val="nil"/>
            </w:tcBorders>
          </w:tcPr>
          <w:p w14:paraId="51068AF2" w14:textId="77777777" w:rsidR="00003C7A" w:rsidRDefault="00003C7A" w:rsidP="00252594">
            <w:pPr>
              <w:pStyle w:val="NormalWeb"/>
              <w:spacing w:before="0" w:after="0"/>
              <w:jc w:val="center"/>
              <w:rPr>
                <w:sz w:val="16"/>
                <w:szCs w:val="16"/>
              </w:rPr>
            </w:pPr>
          </w:p>
        </w:tc>
        <w:tc>
          <w:tcPr>
            <w:tcW w:w="2785" w:type="pct"/>
            <w:tcBorders>
              <w:top w:val="single" w:sz="18" w:space="0" w:color="auto"/>
              <w:left w:val="nil"/>
              <w:bottom w:val="single" w:sz="6" w:space="0" w:color="auto"/>
              <w:right w:val="single" w:sz="18" w:space="0" w:color="auto"/>
            </w:tcBorders>
            <w:vAlign w:val="center"/>
          </w:tcPr>
          <w:p w14:paraId="030D4261" w14:textId="77777777" w:rsidR="00003C7A" w:rsidRDefault="00003C7A" w:rsidP="00252594">
            <w:pPr>
              <w:pStyle w:val="NormalWeb"/>
              <w:spacing w:before="0" w:after="0"/>
              <w:rPr>
                <w:sz w:val="16"/>
                <w:szCs w:val="16"/>
              </w:rPr>
            </w:pPr>
            <w:r>
              <w:rPr>
                <w:sz w:val="16"/>
                <w:szCs w:val="16"/>
              </w:rPr>
              <w:t>Coût total par heure de vol</w:t>
            </w:r>
          </w:p>
        </w:tc>
        <w:tc>
          <w:tcPr>
            <w:tcW w:w="573" w:type="pct"/>
            <w:tcBorders>
              <w:top w:val="single" w:sz="18" w:space="0" w:color="auto"/>
              <w:left w:val="single" w:sz="6" w:space="0" w:color="auto"/>
              <w:bottom w:val="single" w:sz="6" w:space="0" w:color="auto"/>
              <w:right w:val="single" w:sz="6" w:space="0" w:color="auto"/>
            </w:tcBorders>
          </w:tcPr>
          <w:p w14:paraId="6CEC9295"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6" w:space="0" w:color="auto"/>
              <w:right w:val="single" w:sz="18" w:space="0" w:color="auto"/>
            </w:tcBorders>
          </w:tcPr>
          <w:p w14:paraId="4AC05078"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6" w:space="0" w:color="auto"/>
              <w:right w:val="single" w:sz="18" w:space="0" w:color="auto"/>
            </w:tcBorders>
          </w:tcPr>
          <w:p w14:paraId="4EDBECA0" w14:textId="77777777" w:rsidR="00003C7A" w:rsidRDefault="00003C7A" w:rsidP="00252594">
            <w:pPr>
              <w:pStyle w:val="NormalWeb"/>
              <w:spacing w:before="0" w:after="0"/>
            </w:pPr>
          </w:p>
        </w:tc>
      </w:tr>
      <w:tr w:rsidR="00003C7A" w14:paraId="5828F183" w14:textId="77777777" w:rsidTr="00003C7A">
        <w:trPr>
          <w:trHeight w:hRule="exact" w:val="284"/>
          <w:jc w:val="center"/>
        </w:trPr>
        <w:tc>
          <w:tcPr>
            <w:tcW w:w="298" w:type="pct"/>
            <w:tcBorders>
              <w:top w:val="single" w:sz="6" w:space="0" w:color="auto"/>
              <w:left w:val="single" w:sz="18" w:space="0" w:color="auto"/>
              <w:bottom w:val="single" w:sz="18" w:space="0" w:color="auto"/>
              <w:right w:val="nil"/>
            </w:tcBorders>
          </w:tcPr>
          <w:p w14:paraId="4C175988" w14:textId="77777777" w:rsidR="00003C7A" w:rsidRDefault="00003C7A" w:rsidP="00252594">
            <w:pPr>
              <w:pStyle w:val="NormalWeb"/>
              <w:spacing w:before="0" w:after="0"/>
              <w:jc w:val="center"/>
              <w:rPr>
                <w:sz w:val="16"/>
                <w:szCs w:val="16"/>
              </w:rPr>
            </w:pPr>
          </w:p>
        </w:tc>
        <w:tc>
          <w:tcPr>
            <w:tcW w:w="198" w:type="pct"/>
            <w:tcBorders>
              <w:top w:val="single" w:sz="6" w:space="0" w:color="auto"/>
              <w:left w:val="nil"/>
              <w:bottom w:val="single" w:sz="18" w:space="0" w:color="auto"/>
              <w:right w:val="nil"/>
            </w:tcBorders>
          </w:tcPr>
          <w:p w14:paraId="36D2823C" w14:textId="77777777" w:rsidR="00003C7A" w:rsidRDefault="00003C7A" w:rsidP="00252594">
            <w:pPr>
              <w:pStyle w:val="NormalWeb"/>
              <w:spacing w:before="0" w:after="0"/>
              <w:jc w:val="center"/>
              <w:rPr>
                <w:sz w:val="16"/>
                <w:szCs w:val="16"/>
              </w:rPr>
            </w:pPr>
          </w:p>
        </w:tc>
        <w:tc>
          <w:tcPr>
            <w:tcW w:w="2785" w:type="pct"/>
            <w:tcBorders>
              <w:top w:val="single" w:sz="6" w:space="0" w:color="auto"/>
              <w:left w:val="nil"/>
              <w:bottom w:val="single" w:sz="18" w:space="0" w:color="auto"/>
              <w:right w:val="single" w:sz="18" w:space="0" w:color="auto"/>
            </w:tcBorders>
            <w:vAlign w:val="center"/>
          </w:tcPr>
          <w:p w14:paraId="44DB0ABE" w14:textId="77777777" w:rsidR="00003C7A" w:rsidRDefault="00003C7A" w:rsidP="00252594">
            <w:pPr>
              <w:pStyle w:val="NormalWeb"/>
              <w:spacing w:before="0" w:after="0"/>
              <w:rPr>
                <w:sz w:val="16"/>
                <w:szCs w:val="16"/>
              </w:rPr>
            </w:pPr>
            <w:r>
              <w:rPr>
                <w:sz w:val="16"/>
                <w:szCs w:val="16"/>
              </w:rPr>
              <w:t>Coût total par fréquence</w:t>
            </w:r>
          </w:p>
        </w:tc>
        <w:tc>
          <w:tcPr>
            <w:tcW w:w="573" w:type="pct"/>
            <w:tcBorders>
              <w:top w:val="single" w:sz="6" w:space="0" w:color="auto"/>
              <w:left w:val="single" w:sz="6" w:space="0" w:color="auto"/>
              <w:bottom w:val="single" w:sz="18" w:space="0" w:color="auto"/>
              <w:right w:val="single" w:sz="6" w:space="0" w:color="auto"/>
            </w:tcBorders>
          </w:tcPr>
          <w:p w14:paraId="5829AEEA"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18" w:space="0" w:color="auto"/>
              <w:right w:val="single" w:sz="18" w:space="0" w:color="auto"/>
            </w:tcBorders>
          </w:tcPr>
          <w:p w14:paraId="52281921"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18" w:space="0" w:color="auto"/>
              <w:right w:val="single" w:sz="18" w:space="0" w:color="auto"/>
            </w:tcBorders>
          </w:tcPr>
          <w:p w14:paraId="6758E3D3" w14:textId="77777777" w:rsidR="00003C7A" w:rsidRDefault="00003C7A" w:rsidP="00252594">
            <w:pPr>
              <w:pStyle w:val="NormalWeb"/>
              <w:spacing w:before="0" w:after="0"/>
            </w:pPr>
          </w:p>
        </w:tc>
      </w:tr>
      <w:tr w:rsidR="00003C7A" w14:paraId="0075EF36" w14:textId="77777777" w:rsidTr="00003C7A">
        <w:trPr>
          <w:trHeight w:hRule="exact" w:val="227"/>
          <w:jc w:val="center"/>
        </w:trPr>
        <w:tc>
          <w:tcPr>
            <w:tcW w:w="298" w:type="pct"/>
            <w:tcBorders>
              <w:top w:val="single" w:sz="18" w:space="0" w:color="auto"/>
              <w:left w:val="nil"/>
              <w:bottom w:val="single" w:sz="18" w:space="0" w:color="auto"/>
              <w:right w:val="nil"/>
            </w:tcBorders>
          </w:tcPr>
          <w:p w14:paraId="35C622F4" w14:textId="77777777" w:rsidR="00003C7A" w:rsidRDefault="00003C7A" w:rsidP="00252594">
            <w:pPr>
              <w:pStyle w:val="NormalWeb"/>
              <w:spacing w:before="0" w:after="0"/>
              <w:jc w:val="center"/>
              <w:rPr>
                <w:sz w:val="16"/>
                <w:szCs w:val="16"/>
              </w:rPr>
            </w:pPr>
          </w:p>
        </w:tc>
        <w:tc>
          <w:tcPr>
            <w:tcW w:w="198" w:type="pct"/>
            <w:tcBorders>
              <w:top w:val="single" w:sz="18" w:space="0" w:color="auto"/>
              <w:left w:val="nil"/>
              <w:bottom w:val="single" w:sz="18" w:space="0" w:color="auto"/>
              <w:right w:val="nil"/>
            </w:tcBorders>
          </w:tcPr>
          <w:p w14:paraId="0D37C7DB" w14:textId="77777777" w:rsidR="00003C7A" w:rsidRDefault="00003C7A" w:rsidP="00252594">
            <w:pPr>
              <w:pStyle w:val="NormalWeb"/>
              <w:spacing w:before="0" w:after="0"/>
              <w:jc w:val="center"/>
              <w:rPr>
                <w:sz w:val="16"/>
                <w:szCs w:val="16"/>
              </w:rPr>
            </w:pPr>
          </w:p>
        </w:tc>
        <w:tc>
          <w:tcPr>
            <w:tcW w:w="2785" w:type="pct"/>
            <w:tcBorders>
              <w:top w:val="single" w:sz="18" w:space="0" w:color="auto"/>
              <w:left w:val="nil"/>
              <w:bottom w:val="single" w:sz="18" w:space="0" w:color="auto"/>
              <w:right w:val="nil"/>
            </w:tcBorders>
            <w:vAlign w:val="center"/>
          </w:tcPr>
          <w:p w14:paraId="2FFACE89" w14:textId="77777777" w:rsidR="00003C7A" w:rsidRDefault="00003C7A" w:rsidP="00252594">
            <w:pPr>
              <w:pStyle w:val="NormalWeb"/>
              <w:spacing w:before="0" w:after="0"/>
              <w:rPr>
                <w:sz w:val="16"/>
                <w:szCs w:val="16"/>
              </w:rPr>
            </w:pPr>
          </w:p>
        </w:tc>
        <w:tc>
          <w:tcPr>
            <w:tcW w:w="573" w:type="pct"/>
            <w:tcBorders>
              <w:top w:val="single" w:sz="18" w:space="0" w:color="auto"/>
              <w:left w:val="nil"/>
              <w:bottom w:val="single" w:sz="18" w:space="0" w:color="auto"/>
              <w:right w:val="nil"/>
            </w:tcBorders>
          </w:tcPr>
          <w:p w14:paraId="738F4320" w14:textId="77777777" w:rsidR="00003C7A" w:rsidRDefault="00003C7A" w:rsidP="00252594">
            <w:pPr>
              <w:pStyle w:val="NormalWeb"/>
              <w:spacing w:before="0" w:after="0"/>
            </w:pPr>
          </w:p>
        </w:tc>
        <w:tc>
          <w:tcPr>
            <w:tcW w:w="573" w:type="pct"/>
            <w:tcBorders>
              <w:top w:val="single" w:sz="18" w:space="0" w:color="auto"/>
              <w:left w:val="nil"/>
              <w:bottom w:val="single" w:sz="18" w:space="0" w:color="auto"/>
              <w:right w:val="nil"/>
            </w:tcBorders>
          </w:tcPr>
          <w:p w14:paraId="5A0F0FB8"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18" w:space="0" w:color="auto"/>
              <w:right w:val="nil"/>
            </w:tcBorders>
          </w:tcPr>
          <w:p w14:paraId="0EDAF1AB" w14:textId="77777777" w:rsidR="00003C7A" w:rsidRDefault="00003C7A" w:rsidP="00252594">
            <w:pPr>
              <w:pStyle w:val="NormalWeb"/>
              <w:spacing w:before="0" w:after="0"/>
            </w:pPr>
          </w:p>
        </w:tc>
      </w:tr>
      <w:tr w:rsidR="00003C7A" w14:paraId="1DC023E9" w14:textId="77777777" w:rsidTr="00003C7A">
        <w:trPr>
          <w:trHeight w:hRule="exact" w:val="284"/>
          <w:jc w:val="center"/>
        </w:trPr>
        <w:tc>
          <w:tcPr>
            <w:tcW w:w="298" w:type="pct"/>
            <w:tcBorders>
              <w:top w:val="single" w:sz="18" w:space="0" w:color="auto"/>
              <w:left w:val="single" w:sz="18" w:space="0" w:color="auto"/>
              <w:bottom w:val="single" w:sz="18" w:space="0" w:color="auto"/>
              <w:right w:val="nil"/>
            </w:tcBorders>
          </w:tcPr>
          <w:p w14:paraId="4766A609" w14:textId="77777777" w:rsidR="00003C7A" w:rsidRDefault="00003C7A" w:rsidP="00252594">
            <w:pPr>
              <w:pStyle w:val="NormalWeb"/>
              <w:spacing w:before="0" w:after="0"/>
              <w:jc w:val="center"/>
              <w:rPr>
                <w:b/>
                <w:sz w:val="16"/>
                <w:szCs w:val="16"/>
              </w:rPr>
            </w:pPr>
          </w:p>
        </w:tc>
        <w:tc>
          <w:tcPr>
            <w:tcW w:w="198" w:type="pct"/>
            <w:tcBorders>
              <w:top w:val="single" w:sz="18" w:space="0" w:color="auto"/>
              <w:left w:val="nil"/>
              <w:bottom w:val="single" w:sz="18" w:space="0" w:color="auto"/>
              <w:right w:val="nil"/>
            </w:tcBorders>
          </w:tcPr>
          <w:p w14:paraId="47FC82AF" w14:textId="77777777" w:rsidR="00003C7A" w:rsidRDefault="00003C7A" w:rsidP="00252594">
            <w:pPr>
              <w:pStyle w:val="NormalWeb"/>
              <w:spacing w:before="0" w:after="0"/>
              <w:jc w:val="center"/>
              <w:rPr>
                <w:b/>
                <w:sz w:val="16"/>
                <w:szCs w:val="16"/>
              </w:rPr>
            </w:pPr>
          </w:p>
        </w:tc>
        <w:tc>
          <w:tcPr>
            <w:tcW w:w="2785" w:type="pct"/>
            <w:tcBorders>
              <w:top w:val="single" w:sz="18" w:space="0" w:color="auto"/>
              <w:left w:val="nil"/>
              <w:bottom w:val="single" w:sz="18" w:space="0" w:color="auto"/>
              <w:right w:val="single" w:sz="18" w:space="0" w:color="auto"/>
            </w:tcBorders>
            <w:vAlign w:val="center"/>
          </w:tcPr>
          <w:p w14:paraId="3D2E4998" w14:textId="77777777" w:rsidR="00003C7A" w:rsidRDefault="00003C7A" w:rsidP="00252594">
            <w:pPr>
              <w:pStyle w:val="NormalWeb"/>
              <w:spacing w:before="0" w:after="0"/>
              <w:rPr>
                <w:b/>
                <w:sz w:val="16"/>
                <w:szCs w:val="16"/>
              </w:rPr>
            </w:pPr>
            <w:r>
              <w:rPr>
                <w:b/>
                <w:sz w:val="16"/>
                <w:szCs w:val="16"/>
              </w:rPr>
              <w:t>Total des produits par période (rappel)</w:t>
            </w:r>
          </w:p>
        </w:tc>
        <w:tc>
          <w:tcPr>
            <w:tcW w:w="573" w:type="pct"/>
            <w:tcBorders>
              <w:top w:val="single" w:sz="6" w:space="0" w:color="auto"/>
              <w:left w:val="single" w:sz="6" w:space="0" w:color="auto"/>
              <w:bottom w:val="single" w:sz="18" w:space="0" w:color="auto"/>
              <w:right w:val="single" w:sz="6" w:space="0" w:color="auto"/>
            </w:tcBorders>
          </w:tcPr>
          <w:p w14:paraId="6A657EAD" w14:textId="77777777" w:rsidR="00003C7A" w:rsidRDefault="00003C7A" w:rsidP="00252594">
            <w:pPr>
              <w:pStyle w:val="NormalWeb"/>
              <w:spacing w:before="0" w:after="0"/>
              <w:rPr>
                <w:b/>
              </w:rPr>
            </w:pPr>
          </w:p>
        </w:tc>
        <w:tc>
          <w:tcPr>
            <w:tcW w:w="573" w:type="pct"/>
            <w:tcBorders>
              <w:top w:val="single" w:sz="18" w:space="0" w:color="auto"/>
              <w:left w:val="single" w:sz="6" w:space="0" w:color="auto"/>
              <w:bottom w:val="single" w:sz="18" w:space="0" w:color="auto"/>
              <w:right w:val="single" w:sz="18" w:space="0" w:color="auto"/>
            </w:tcBorders>
          </w:tcPr>
          <w:p w14:paraId="52B99454" w14:textId="77777777" w:rsidR="00003C7A" w:rsidRDefault="00003C7A" w:rsidP="00252594">
            <w:pPr>
              <w:pStyle w:val="NormalWeb"/>
              <w:spacing w:before="0" w:after="0"/>
              <w:rPr>
                <w:b/>
              </w:rPr>
            </w:pPr>
          </w:p>
        </w:tc>
        <w:tc>
          <w:tcPr>
            <w:tcW w:w="573" w:type="pct"/>
            <w:tcBorders>
              <w:top w:val="single" w:sz="18" w:space="0" w:color="auto"/>
              <w:left w:val="single" w:sz="6" w:space="0" w:color="auto"/>
              <w:bottom w:val="single" w:sz="18" w:space="0" w:color="auto"/>
              <w:right w:val="single" w:sz="18" w:space="0" w:color="auto"/>
            </w:tcBorders>
          </w:tcPr>
          <w:p w14:paraId="347C406B" w14:textId="77777777" w:rsidR="00003C7A" w:rsidRDefault="00003C7A" w:rsidP="00252594">
            <w:pPr>
              <w:pStyle w:val="NormalWeb"/>
              <w:spacing w:before="0" w:after="0"/>
              <w:rPr>
                <w:b/>
              </w:rPr>
            </w:pPr>
          </w:p>
        </w:tc>
      </w:tr>
      <w:tr w:rsidR="00003C7A" w14:paraId="2AA4C8A2" w14:textId="77777777" w:rsidTr="00003C7A">
        <w:trPr>
          <w:trHeight w:hRule="exact" w:val="227"/>
          <w:jc w:val="center"/>
        </w:trPr>
        <w:tc>
          <w:tcPr>
            <w:tcW w:w="298" w:type="pct"/>
            <w:tcBorders>
              <w:top w:val="single" w:sz="18" w:space="0" w:color="auto"/>
              <w:left w:val="nil"/>
              <w:bottom w:val="single" w:sz="18" w:space="0" w:color="auto"/>
              <w:right w:val="nil"/>
            </w:tcBorders>
          </w:tcPr>
          <w:p w14:paraId="6F2E6FB8" w14:textId="77777777" w:rsidR="00003C7A" w:rsidRDefault="00003C7A" w:rsidP="00252594">
            <w:pPr>
              <w:pStyle w:val="NormalWeb"/>
              <w:spacing w:before="0" w:after="0"/>
              <w:jc w:val="center"/>
              <w:rPr>
                <w:sz w:val="16"/>
                <w:szCs w:val="16"/>
              </w:rPr>
            </w:pPr>
          </w:p>
        </w:tc>
        <w:tc>
          <w:tcPr>
            <w:tcW w:w="198" w:type="pct"/>
            <w:tcBorders>
              <w:top w:val="single" w:sz="18" w:space="0" w:color="auto"/>
              <w:left w:val="nil"/>
              <w:bottom w:val="single" w:sz="18" w:space="0" w:color="auto"/>
              <w:right w:val="nil"/>
            </w:tcBorders>
          </w:tcPr>
          <w:p w14:paraId="6380CA05" w14:textId="77777777" w:rsidR="00003C7A" w:rsidRDefault="00003C7A" w:rsidP="00252594">
            <w:pPr>
              <w:pStyle w:val="NormalWeb"/>
              <w:spacing w:before="0" w:after="0"/>
              <w:jc w:val="center"/>
              <w:rPr>
                <w:sz w:val="16"/>
                <w:szCs w:val="16"/>
              </w:rPr>
            </w:pPr>
          </w:p>
        </w:tc>
        <w:tc>
          <w:tcPr>
            <w:tcW w:w="2785" w:type="pct"/>
            <w:tcBorders>
              <w:top w:val="single" w:sz="18" w:space="0" w:color="auto"/>
              <w:left w:val="nil"/>
              <w:bottom w:val="single" w:sz="18" w:space="0" w:color="auto"/>
              <w:right w:val="nil"/>
            </w:tcBorders>
            <w:vAlign w:val="center"/>
          </w:tcPr>
          <w:p w14:paraId="5ED31C79" w14:textId="77777777" w:rsidR="00003C7A" w:rsidRDefault="00003C7A" w:rsidP="00252594">
            <w:pPr>
              <w:pStyle w:val="NormalWeb"/>
              <w:spacing w:before="0" w:after="0"/>
              <w:rPr>
                <w:sz w:val="16"/>
                <w:szCs w:val="16"/>
              </w:rPr>
            </w:pPr>
          </w:p>
        </w:tc>
        <w:tc>
          <w:tcPr>
            <w:tcW w:w="573" w:type="pct"/>
            <w:tcBorders>
              <w:top w:val="single" w:sz="18" w:space="0" w:color="auto"/>
              <w:left w:val="nil"/>
              <w:bottom w:val="single" w:sz="18" w:space="0" w:color="auto"/>
              <w:right w:val="nil"/>
            </w:tcBorders>
          </w:tcPr>
          <w:p w14:paraId="441857E4" w14:textId="77777777" w:rsidR="00003C7A" w:rsidRDefault="00003C7A" w:rsidP="00252594">
            <w:pPr>
              <w:pStyle w:val="NormalWeb"/>
              <w:spacing w:before="0" w:after="0"/>
            </w:pPr>
          </w:p>
        </w:tc>
        <w:tc>
          <w:tcPr>
            <w:tcW w:w="573" w:type="pct"/>
            <w:tcBorders>
              <w:top w:val="single" w:sz="18" w:space="0" w:color="auto"/>
              <w:left w:val="nil"/>
              <w:bottom w:val="single" w:sz="18" w:space="0" w:color="auto"/>
              <w:right w:val="nil"/>
            </w:tcBorders>
          </w:tcPr>
          <w:p w14:paraId="74F09EB1"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18" w:space="0" w:color="auto"/>
              <w:right w:val="nil"/>
            </w:tcBorders>
          </w:tcPr>
          <w:p w14:paraId="4E04D679" w14:textId="77777777" w:rsidR="00003C7A" w:rsidRDefault="00003C7A" w:rsidP="00252594">
            <w:pPr>
              <w:pStyle w:val="NormalWeb"/>
              <w:spacing w:before="0" w:after="0"/>
            </w:pPr>
          </w:p>
        </w:tc>
      </w:tr>
      <w:tr w:rsidR="00003C7A" w14:paraId="602D79D7" w14:textId="77777777" w:rsidTr="00003C7A">
        <w:trPr>
          <w:trHeight w:hRule="exact" w:val="284"/>
          <w:jc w:val="center"/>
        </w:trPr>
        <w:tc>
          <w:tcPr>
            <w:tcW w:w="298" w:type="pct"/>
            <w:tcBorders>
              <w:top w:val="single" w:sz="18" w:space="0" w:color="auto"/>
              <w:left w:val="single" w:sz="18" w:space="0" w:color="auto"/>
              <w:bottom w:val="single" w:sz="18" w:space="0" w:color="auto"/>
              <w:right w:val="nil"/>
            </w:tcBorders>
          </w:tcPr>
          <w:p w14:paraId="0EB1BF2E" w14:textId="77777777" w:rsidR="00003C7A" w:rsidRDefault="00003C7A" w:rsidP="00252594">
            <w:pPr>
              <w:pStyle w:val="NormalWeb"/>
              <w:spacing w:before="0" w:after="0"/>
              <w:jc w:val="center"/>
              <w:rPr>
                <w:sz w:val="16"/>
                <w:szCs w:val="16"/>
              </w:rPr>
            </w:pPr>
          </w:p>
        </w:tc>
        <w:tc>
          <w:tcPr>
            <w:tcW w:w="198" w:type="pct"/>
            <w:tcBorders>
              <w:top w:val="single" w:sz="18" w:space="0" w:color="auto"/>
              <w:left w:val="nil"/>
              <w:bottom w:val="single" w:sz="18" w:space="0" w:color="auto"/>
              <w:right w:val="nil"/>
            </w:tcBorders>
          </w:tcPr>
          <w:p w14:paraId="53FFF065" w14:textId="77777777" w:rsidR="00003C7A" w:rsidRDefault="00003C7A" w:rsidP="00252594">
            <w:pPr>
              <w:pStyle w:val="NormalWeb"/>
              <w:spacing w:before="0" w:after="0"/>
              <w:jc w:val="center"/>
              <w:rPr>
                <w:sz w:val="16"/>
                <w:szCs w:val="16"/>
              </w:rPr>
            </w:pPr>
          </w:p>
        </w:tc>
        <w:tc>
          <w:tcPr>
            <w:tcW w:w="2785" w:type="pct"/>
            <w:tcBorders>
              <w:top w:val="single" w:sz="18" w:space="0" w:color="auto"/>
              <w:left w:val="nil"/>
              <w:bottom w:val="single" w:sz="18" w:space="0" w:color="auto"/>
              <w:right w:val="single" w:sz="18" w:space="0" w:color="auto"/>
            </w:tcBorders>
            <w:vAlign w:val="center"/>
          </w:tcPr>
          <w:p w14:paraId="1CB644BC" w14:textId="77777777" w:rsidR="00003C7A" w:rsidRDefault="00003C7A" w:rsidP="00252594">
            <w:pPr>
              <w:pStyle w:val="NormalWeb"/>
              <w:spacing w:before="0" w:after="0"/>
              <w:rPr>
                <w:b/>
                <w:sz w:val="16"/>
                <w:szCs w:val="16"/>
              </w:rPr>
            </w:pPr>
            <w:r>
              <w:rPr>
                <w:b/>
                <w:sz w:val="16"/>
                <w:szCs w:val="16"/>
              </w:rPr>
              <w:t xml:space="preserve">Résultat d’exploitation par période </w:t>
            </w:r>
          </w:p>
        </w:tc>
        <w:tc>
          <w:tcPr>
            <w:tcW w:w="573" w:type="pct"/>
            <w:tcBorders>
              <w:top w:val="single" w:sz="18" w:space="0" w:color="auto"/>
              <w:left w:val="single" w:sz="6" w:space="0" w:color="auto"/>
              <w:bottom w:val="single" w:sz="18" w:space="0" w:color="auto"/>
              <w:right w:val="single" w:sz="6" w:space="0" w:color="auto"/>
            </w:tcBorders>
          </w:tcPr>
          <w:p w14:paraId="640D8656"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18" w:space="0" w:color="auto"/>
              <w:right w:val="single" w:sz="18" w:space="0" w:color="auto"/>
            </w:tcBorders>
          </w:tcPr>
          <w:p w14:paraId="75E78BBF"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18" w:space="0" w:color="auto"/>
              <w:right w:val="single" w:sz="18" w:space="0" w:color="auto"/>
            </w:tcBorders>
          </w:tcPr>
          <w:p w14:paraId="4EE91DEA" w14:textId="77777777" w:rsidR="00003C7A" w:rsidRDefault="00003C7A" w:rsidP="00252594">
            <w:pPr>
              <w:pStyle w:val="NormalWeb"/>
              <w:spacing w:before="0" w:after="0"/>
            </w:pPr>
          </w:p>
        </w:tc>
      </w:tr>
      <w:tr w:rsidR="00003C7A" w14:paraId="6ED887B9" w14:textId="77777777" w:rsidTr="00003C7A">
        <w:trPr>
          <w:trHeight w:hRule="exact" w:val="227"/>
          <w:jc w:val="center"/>
        </w:trPr>
        <w:tc>
          <w:tcPr>
            <w:tcW w:w="298" w:type="pct"/>
            <w:tcBorders>
              <w:top w:val="single" w:sz="18" w:space="0" w:color="auto"/>
              <w:left w:val="nil"/>
              <w:bottom w:val="single" w:sz="18" w:space="0" w:color="auto"/>
              <w:right w:val="nil"/>
            </w:tcBorders>
          </w:tcPr>
          <w:p w14:paraId="4BA81328" w14:textId="77777777" w:rsidR="00003C7A" w:rsidRDefault="00003C7A" w:rsidP="00252594">
            <w:pPr>
              <w:pStyle w:val="NormalWeb"/>
              <w:spacing w:before="0" w:after="0"/>
              <w:jc w:val="center"/>
              <w:rPr>
                <w:sz w:val="16"/>
                <w:szCs w:val="16"/>
              </w:rPr>
            </w:pPr>
          </w:p>
        </w:tc>
        <w:tc>
          <w:tcPr>
            <w:tcW w:w="198" w:type="pct"/>
            <w:tcBorders>
              <w:top w:val="single" w:sz="18" w:space="0" w:color="auto"/>
              <w:left w:val="nil"/>
              <w:bottom w:val="single" w:sz="18" w:space="0" w:color="auto"/>
              <w:right w:val="nil"/>
            </w:tcBorders>
          </w:tcPr>
          <w:p w14:paraId="09F3CE82" w14:textId="77777777" w:rsidR="00003C7A" w:rsidRDefault="00003C7A" w:rsidP="00252594">
            <w:pPr>
              <w:pStyle w:val="NormalWeb"/>
              <w:spacing w:before="0" w:after="0"/>
              <w:jc w:val="center"/>
              <w:rPr>
                <w:sz w:val="16"/>
                <w:szCs w:val="16"/>
              </w:rPr>
            </w:pPr>
          </w:p>
        </w:tc>
        <w:tc>
          <w:tcPr>
            <w:tcW w:w="2785" w:type="pct"/>
            <w:tcBorders>
              <w:top w:val="single" w:sz="18" w:space="0" w:color="auto"/>
              <w:left w:val="nil"/>
              <w:bottom w:val="single" w:sz="18" w:space="0" w:color="auto"/>
              <w:right w:val="nil"/>
            </w:tcBorders>
            <w:vAlign w:val="center"/>
          </w:tcPr>
          <w:p w14:paraId="6946170F" w14:textId="77777777" w:rsidR="00003C7A" w:rsidRDefault="00003C7A" w:rsidP="00252594">
            <w:pPr>
              <w:pStyle w:val="NormalWeb"/>
              <w:spacing w:before="0" w:after="0"/>
              <w:rPr>
                <w:b/>
                <w:sz w:val="16"/>
                <w:szCs w:val="16"/>
              </w:rPr>
            </w:pPr>
          </w:p>
        </w:tc>
        <w:tc>
          <w:tcPr>
            <w:tcW w:w="573" w:type="pct"/>
            <w:tcBorders>
              <w:top w:val="single" w:sz="18" w:space="0" w:color="auto"/>
              <w:left w:val="nil"/>
              <w:bottom w:val="single" w:sz="18" w:space="0" w:color="auto"/>
              <w:right w:val="nil"/>
            </w:tcBorders>
          </w:tcPr>
          <w:p w14:paraId="3EF6796A" w14:textId="77777777" w:rsidR="00003C7A" w:rsidRDefault="00003C7A" w:rsidP="00252594">
            <w:pPr>
              <w:pStyle w:val="NormalWeb"/>
              <w:spacing w:before="0" w:after="0"/>
            </w:pPr>
          </w:p>
        </w:tc>
        <w:tc>
          <w:tcPr>
            <w:tcW w:w="573" w:type="pct"/>
            <w:tcBorders>
              <w:top w:val="single" w:sz="18" w:space="0" w:color="auto"/>
              <w:left w:val="nil"/>
              <w:bottom w:val="single" w:sz="18" w:space="0" w:color="auto"/>
              <w:right w:val="nil"/>
            </w:tcBorders>
          </w:tcPr>
          <w:p w14:paraId="109CB4CC"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18" w:space="0" w:color="auto"/>
              <w:right w:val="nil"/>
            </w:tcBorders>
          </w:tcPr>
          <w:p w14:paraId="66D0AF0E" w14:textId="77777777" w:rsidR="00003C7A" w:rsidRDefault="00003C7A" w:rsidP="00252594">
            <w:pPr>
              <w:pStyle w:val="NormalWeb"/>
              <w:spacing w:before="0" w:after="0"/>
            </w:pPr>
          </w:p>
        </w:tc>
      </w:tr>
      <w:tr w:rsidR="00003C7A" w14:paraId="59C76923" w14:textId="77777777" w:rsidTr="00003C7A">
        <w:trPr>
          <w:trHeight w:hRule="exact" w:val="284"/>
          <w:jc w:val="center"/>
        </w:trPr>
        <w:tc>
          <w:tcPr>
            <w:tcW w:w="298" w:type="pct"/>
            <w:tcBorders>
              <w:top w:val="single" w:sz="18" w:space="0" w:color="auto"/>
              <w:left w:val="single" w:sz="18" w:space="0" w:color="auto"/>
              <w:bottom w:val="single" w:sz="18" w:space="0" w:color="auto"/>
              <w:right w:val="nil"/>
            </w:tcBorders>
          </w:tcPr>
          <w:p w14:paraId="03DBA3AB" w14:textId="77777777" w:rsidR="00003C7A" w:rsidRDefault="00003C7A" w:rsidP="00252594">
            <w:pPr>
              <w:pStyle w:val="NormalWeb"/>
              <w:spacing w:before="0" w:after="0"/>
              <w:jc w:val="center"/>
              <w:rPr>
                <w:sz w:val="16"/>
                <w:szCs w:val="16"/>
              </w:rPr>
            </w:pPr>
          </w:p>
        </w:tc>
        <w:tc>
          <w:tcPr>
            <w:tcW w:w="198" w:type="pct"/>
            <w:tcBorders>
              <w:top w:val="single" w:sz="18" w:space="0" w:color="auto"/>
              <w:left w:val="nil"/>
              <w:bottom w:val="single" w:sz="18" w:space="0" w:color="auto"/>
              <w:right w:val="nil"/>
            </w:tcBorders>
          </w:tcPr>
          <w:p w14:paraId="1C229A7C" w14:textId="77777777" w:rsidR="00003C7A" w:rsidRDefault="00003C7A" w:rsidP="00252594">
            <w:pPr>
              <w:pStyle w:val="NormalWeb"/>
              <w:spacing w:before="0" w:after="0"/>
              <w:jc w:val="center"/>
              <w:rPr>
                <w:sz w:val="16"/>
                <w:szCs w:val="16"/>
              </w:rPr>
            </w:pPr>
          </w:p>
        </w:tc>
        <w:tc>
          <w:tcPr>
            <w:tcW w:w="2785" w:type="pct"/>
            <w:tcBorders>
              <w:top w:val="single" w:sz="18" w:space="0" w:color="auto"/>
              <w:left w:val="nil"/>
              <w:bottom w:val="single" w:sz="18" w:space="0" w:color="auto"/>
              <w:right w:val="single" w:sz="18" w:space="0" w:color="auto"/>
            </w:tcBorders>
            <w:vAlign w:val="center"/>
          </w:tcPr>
          <w:p w14:paraId="768D45D5" w14:textId="77777777" w:rsidR="00003C7A" w:rsidRDefault="00003C7A" w:rsidP="00252594">
            <w:pPr>
              <w:pStyle w:val="NormalWeb"/>
              <w:spacing w:before="0" w:after="0"/>
              <w:rPr>
                <w:b/>
                <w:sz w:val="16"/>
                <w:szCs w:val="16"/>
              </w:rPr>
            </w:pPr>
            <w:r>
              <w:rPr>
                <w:b/>
                <w:sz w:val="16"/>
                <w:szCs w:val="16"/>
              </w:rPr>
              <w:t>Compensation demandée</w:t>
            </w:r>
          </w:p>
        </w:tc>
        <w:tc>
          <w:tcPr>
            <w:tcW w:w="573" w:type="pct"/>
            <w:tcBorders>
              <w:top w:val="single" w:sz="18" w:space="0" w:color="auto"/>
              <w:left w:val="single" w:sz="6" w:space="0" w:color="auto"/>
              <w:bottom w:val="single" w:sz="18" w:space="0" w:color="auto"/>
              <w:right w:val="single" w:sz="6" w:space="0" w:color="auto"/>
            </w:tcBorders>
          </w:tcPr>
          <w:p w14:paraId="026EE3A7"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18" w:space="0" w:color="auto"/>
              <w:right w:val="single" w:sz="18" w:space="0" w:color="auto"/>
            </w:tcBorders>
          </w:tcPr>
          <w:p w14:paraId="73203EB4"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18" w:space="0" w:color="auto"/>
              <w:right w:val="single" w:sz="18" w:space="0" w:color="auto"/>
            </w:tcBorders>
          </w:tcPr>
          <w:p w14:paraId="371272B5" w14:textId="77777777" w:rsidR="00003C7A" w:rsidRDefault="00003C7A" w:rsidP="00252594">
            <w:pPr>
              <w:pStyle w:val="NormalWeb"/>
              <w:spacing w:before="0" w:after="0"/>
            </w:pPr>
          </w:p>
        </w:tc>
      </w:tr>
    </w:tbl>
    <w:p w14:paraId="52194652" w14:textId="77777777" w:rsidR="00F85507" w:rsidRDefault="00F85507" w:rsidP="00F85507">
      <w:pPr>
        <w:pStyle w:val="Pieddepage"/>
        <w:tabs>
          <w:tab w:val="clear" w:pos="4536"/>
          <w:tab w:val="clear" w:pos="9072"/>
        </w:tabs>
        <w:rPr>
          <w:sz w:val="16"/>
        </w:rPr>
      </w:pPr>
    </w:p>
    <w:tbl>
      <w:tblPr>
        <w:tblW w:w="10137" w:type="dxa"/>
        <w:jc w:val="center"/>
        <w:tblBorders>
          <w:insideH w:val="single" w:sz="6" w:space="0" w:color="auto"/>
        </w:tblBorders>
        <w:tblLayout w:type="fixed"/>
        <w:tblCellMar>
          <w:left w:w="70" w:type="dxa"/>
          <w:right w:w="70" w:type="dxa"/>
        </w:tblCellMar>
        <w:tblLook w:val="0000" w:firstRow="0" w:lastRow="0" w:firstColumn="0" w:lastColumn="0" w:noHBand="0" w:noVBand="0"/>
      </w:tblPr>
      <w:tblGrid>
        <w:gridCol w:w="533"/>
        <w:gridCol w:w="9604"/>
      </w:tblGrid>
      <w:tr w:rsidR="00F85507" w:rsidRPr="0032494F" w14:paraId="02FB7201" w14:textId="77777777" w:rsidTr="00B70A43">
        <w:trPr>
          <w:cantSplit/>
          <w:trHeight w:val="1845"/>
          <w:jc w:val="center"/>
        </w:trPr>
        <w:tc>
          <w:tcPr>
            <w:tcW w:w="533" w:type="dxa"/>
          </w:tcPr>
          <w:p w14:paraId="2EAB9321" w14:textId="77777777" w:rsidR="00F85507" w:rsidRPr="0032494F" w:rsidRDefault="00F85507" w:rsidP="00252594">
            <w:pPr>
              <w:rPr>
                <w:szCs w:val="20"/>
                <w:lang w:val="en-GB"/>
              </w:rPr>
            </w:pPr>
            <w:r w:rsidRPr="0032494F">
              <w:rPr>
                <w:szCs w:val="20"/>
                <w:lang w:val="en-GB"/>
              </w:rPr>
              <w:lastRenderedPageBreak/>
              <w:t>(a)</w:t>
            </w:r>
          </w:p>
          <w:p w14:paraId="07381C94" w14:textId="77777777" w:rsidR="00F85507" w:rsidRPr="0032494F" w:rsidRDefault="00F85507" w:rsidP="00252594">
            <w:pPr>
              <w:rPr>
                <w:szCs w:val="20"/>
                <w:lang w:val="en-GB"/>
              </w:rPr>
            </w:pPr>
          </w:p>
          <w:p w14:paraId="0EAD071A" w14:textId="77777777" w:rsidR="00F85507" w:rsidRPr="0032494F" w:rsidRDefault="00F85507" w:rsidP="00252594">
            <w:pPr>
              <w:rPr>
                <w:szCs w:val="20"/>
                <w:lang w:val="en-GB"/>
              </w:rPr>
            </w:pPr>
            <w:r w:rsidRPr="0032494F">
              <w:rPr>
                <w:szCs w:val="20"/>
                <w:lang w:val="en-GB"/>
              </w:rPr>
              <w:t>(b)</w:t>
            </w:r>
          </w:p>
          <w:p w14:paraId="1EF61FCD" w14:textId="77777777" w:rsidR="00F85507" w:rsidRPr="0032494F" w:rsidRDefault="00F85507" w:rsidP="00252594">
            <w:pPr>
              <w:rPr>
                <w:szCs w:val="20"/>
                <w:lang w:val="en-GB"/>
              </w:rPr>
            </w:pPr>
          </w:p>
          <w:p w14:paraId="632ECD84" w14:textId="77777777" w:rsidR="00F85507" w:rsidRPr="0032494F" w:rsidRDefault="00F85507" w:rsidP="00252594">
            <w:pPr>
              <w:rPr>
                <w:szCs w:val="20"/>
                <w:lang w:val="en-GB"/>
              </w:rPr>
            </w:pPr>
            <w:r w:rsidRPr="0032494F">
              <w:rPr>
                <w:szCs w:val="20"/>
                <w:lang w:val="en-GB"/>
              </w:rPr>
              <w:t>(c)</w:t>
            </w:r>
          </w:p>
          <w:p w14:paraId="158F3D30" w14:textId="77777777" w:rsidR="00F85507" w:rsidRPr="0032494F" w:rsidRDefault="00F85507" w:rsidP="00252594">
            <w:pPr>
              <w:rPr>
                <w:szCs w:val="20"/>
                <w:lang w:val="en-GB"/>
              </w:rPr>
            </w:pPr>
          </w:p>
          <w:p w14:paraId="332B140F" w14:textId="77777777" w:rsidR="00F85507" w:rsidRPr="0032494F" w:rsidRDefault="00F85507" w:rsidP="00252594">
            <w:pPr>
              <w:rPr>
                <w:szCs w:val="20"/>
                <w:lang w:val="en-GB"/>
              </w:rPr>
            </w:pPr>
          </w:p>
          <w:p w14:paraId="16AD5114" w14:textId="77777777" w:rsidR="00F85507" w:rsidRPr="0032494F" w:rsidRDefault="00F85507" w:rsidP="00252594">
            <w:pPr>
              <w:rPr>
                <w:szCs w:val="20"/>
                <w:lang w:val="en-GB"/>
              </w:rPr>
            </w:pPr>
          </w:p>
          <w:p w14:paraId="120C26A3" w14:textId="77777777" w:rsidR="00F85507" w:rsidRPr="0032494F" w:rsidRDefault="00F85507" w:rsidP="00252594">
            <w:pPr>
              <w:rPr>
                <w:sz w:val="12"/>
                <w:szCs w:val="12"/>
                <w:lang w:val="en-GB"/>
              </w:rPr>
            </w:pPr>
          </w:p>
          <w:p w14:paraId="773301CB" w14:textId="77777777" w:rsidR="00F85507" w:rsidRPr="0032494F" w:rsidRDefault="00F85507" w:rsidP="00252594">
            <w:pPr>
              <w:rPr>
                <w:szCs w:val="20"/>
                <w:lang w:val="en-GB"/>
              </w:rPr>
            </w:pPr>
          </w:p>
          <w:p w14:paraId="7AD8CCFE" w14:textId="77777777" w:rsidR="00F85507" w:rsidRPr="0032494F" w:rsidRDefault="00F85507" w:rsidP="00252594">
            <w:pPr>
              <w:rPr>
                <w:szCs w:val="20"/>
                <w:lang w:val="en-GB"/>
              </w:rPr>
            </w:pPr>
          </w:p>
          <w:p w14:paraId="6A3D1D0A" w14:textId="77777777" w:rsidR="00F85507" w:rsidRPr="0032494F" w:rsidRDefault="00F85507" w:rsidP="00252594">
            <w:pPr>
              <w:rPr>
                <w:szCs w:val="20"/>
                <w:lang w:val="en-GB"/>
              </w:rPr>
            </w:pPr>
            <w:r w:rsidRPr="0032494F">
              <w:rPr>
                <w:szCs w:val="20"/>
                <w:lang w:val="en-GB"/>
              </w:rPr>
              <w:t>(d)</w:t>
            </w:r>
          </w:p>
          <w:p w14:paraId="458FF0B5" w14:textId="77777777" w:rsidR="00F85507" w:rsidRPr="0032494F" w:rsidRDefault="00F85507" w:rsidP="00252594">
            <w:pPr>
              <w:rPr>
                <w:szCs w:val="20"/>
                <w:lang w:val="en-GB"/>
              </w:rPr>
            </w:pPr>
          </w:p>
          <w:p w14:paraId="3E12350F" w14:textId="77777777" w:rsidR="00F85507" w:rsidRPr="0032494F" w:rsidRDefault="00F85507" w:rsidP="00252594">
            <w:pPr>
              <w:rPr>
                <w:szCs w:val="20"/>
                <w:lang w:val="en-GB"/>
              </w:rPr>
            </w:pPr>
            <w:r w:rsidRPr="0032494F">
              <w:rPr>
                <w:szCs w:val="20"/>
                <w:lang w:val="en-GB"/>
              </w:rPr>
              <w:t>(e)</w:t>
            </w:r>
          </w:p>
          <w:p w14:paraId="5B8A4A1A" w14:textId="77777777" w:rsidR="00F85507" w:rsidRPr="0032494F" w:rsidRDefault="00F85507" w:rsidP="00252594">
            <w:pPr>
              <w:rPr>
                <w:szCs w:val="20"/>
                <w:lang w:val="en-GB"/>
              </w:rPr>
            </w:pPr>
          </w:p>
          <w:p w14:paraId="6349B67D" w14:textId="77777777" w:rsidR="00F85507" w:rsidRPr="0032494F" w:rsidRDefault="00F85507" w:rsidP="00252594">
            <w:pPr>
              <w:rPr>
                <w:szCs w:val="20"/>
                <w:lang w:val="en-GB"/>
              </w:rPr>
            </w:pPr>
            <w:r w:rsidRPr="0032494F">
              <w:rPr>
                <w:szCs w:val="20"/>
                <w:lang w:val="en-GB"/>
              </w:rPr>
              <w:t>(f)</w:t>
            </w:r>
          </w:p>
          <w:p w14:paraId="1DEABA98" w14:textId="77777777" w:rsidR="00F85507" w:rsidRPr="0032494F" w:rsidRDefault="00F85507" w:rsidP="00252594">
            <w:pPr>
              <w:rPr>
                <w:szCs w:val="20"/>
                <w:lang w:val="en-GB"/>
              </w:rPr>
            </w:pPr>
          </w:p>
          <w:p w14:paraId="5105233F" w14:textId="77777777" w:rsidR="00F85507" w:rsidRPr="0032494F" w:rsidRDefault="00F85507" w:rsidP="00252594">
            <w:pPr>
              <w:rPr>
                <w:szCs w:val="20"/>
                <w:lang w:val="en-GB"/>
              </w:rPr>
            </w:pPr>
            <w:r w:rsidRPr="0032494F">
              <w:rPr>
                <w:szCs w:val="20"/>
                <w:lang w:val="en-GB"/>
              </w:rPr>
              <w:t xml:space="preserve">(g) </w:t>
            </w:r>
          </w:p>
          <w:p w14:paraId="4D261369" w14:textId="77777777" w:rsidR="00F85507" w:rsidRPr="0032494F" w:rsidRDefault="00F85507" w:rsidP="00252594">
            <w:pPr>
              <w:rPr>
                <w:szCs w:val="20"/>
                <w:lang w:val="en-GB"/>
              </w:rPr>
            </w:pPr>
          </w:p>
          <w:p w14:paraId="48C36FB9" w14:textId="77777777" w:rsidR="00F85507" w:rsidRPr="0032494F" w:rsidRDefault="00F85507" w:rsidP="00252594">
            <w:pPr>
              <w:rPr>
                <w:szCs w:val="20"/>
                <w:lang w:val="en-GB"/>
              </w:rPr>
            </w:pPr>
            <w:r w:rsidRPr="0032494F">
              <w:rPr>
                <w:szCs w:val="20"/>
                <w:lang w:val="en-GB"/>
              </w:rPr>
              <w:t>(h)</w:t>
            </w:r>
          </w:p>
          <w:p w14:paraId="0CA1D81D" w14:textId="77777777" w:rsidR="00F85507" w:rsidRPr="0032494F" w:rsidRDefault="00F85507" w:rsidP="00252594">
            <w:pPr>
              <w:rPr>
                <w:szCs w:val="20"/>
                <w:lang w:val="en-GB"/>
              </w:rPr>
            </w:pPr>
          </w:p>
          <w:p w14:paraId="37EC8416" w14:textId="77777777" w:rsidR="00F85507" w:rsidRPr="0032494F" w:rsidRDefault="00F85507" w:rsidP="00252594">
            <w:pPr>
              <w:rPr>
                <w:szCs w:val="20"/>
                <w:lang w:val="en-GB"/>
              </w:rPr>
            </w:pPr>
            <w:r w:rsidRPr="0032494F">
              <w:rPr>
                <w:szCs w:val="20"/>
                <w:lang w:val="en-GB"/>
              </w:rPr>
              <w:t>(i)</w:t>
            </w:r>
          </w:p>
          <w:p w14:paraId="079418A3" w14:textId="77777777" w:rsidR="00F85507" w:rsidRPr="0032494F" w:rsidRDefault="00F85507" w:rsidP="00252594">
            <w:pPr>
              <w:rPr>
                <w:szCs w:val="20"/>
                <w:lang w:val="en-GB"/>
              </w:rPr>
            </w:pPr>
          </w:p>
          <w:p w14:paraId="3E909787" w14:textId="77777777" w:rsidR="00B70A43" w:rsidRPr="0032494F" w:rsidRDefault="00B70A43" w:rsidP="00252594">
            <w:pPr>
              <w:rPr>
                <w:szCs w:val="20"/>
                <w:lang w:val="en-GB"/>
              </w:rPr>
            </w:pPr>
          </w:p>
          <w:p w14:paraId="5781D41E" w14:textId="5F1187B8" w:rsidR="00F85507" w:rsidRPr="0032494F" w:rsidRDefault="00F85507" w:rsidP="00252594">
            <w:pPr>
              <w:rPr>
                <w:szCs w:val="20"/>
                <w:lang w:val="en-GB"/>
              </w:rPr>
            </w:pPr>
            <w:r w:rsidRPr="0032494F">
              <w:rPr>
                <w:szCs w:val="20"/>
                <w:lang w:val="en-GB"/>
              </w:rPr>
              <w:t>(j)</w:t>
            </w:r>
          </w:p>
          <w:p w14:paraId="2AB377DD" w14:textId="77777777" w:rsidR="00F85507" w:rsidRPr="0032494F" w:rsidRDefault="00F85507" w:rsidP="00252594">
            <w:pPr>
              <w:rPr>
                <w:szCs w:val="20"/>
                <w:lang w:val="en-GB"/>
              </w:rPr>
            </w:pPr>
          </w:p>
          <w:p w14:paraId="420A2184" w14:textId="388E2FF9" w:rsidR="00F85507" w:rsidRPr="0032494F" w:rsidRDefault="00F85507" w:rsidP="00252594">
            <w:pPr>
              <w:rPr>
                <w:szCs w:val="20"/>
                <w:lang w:val="en-GB"/>
              </w:rPr>
            </w:pPr>
            <w:r w:rsidRPr="0032494F">
              <w:rPr>
                <w:szCs w:val="20"/>
                <w:lang w:val="en-GB"/>
              </w:rPr>
              <w:t>(k)</w:t>
            </w:r>
          </w:p>
          <w:p w14:paraId="19B4A2B1" w14:textId="77777777" w:rsidR="00F85507" w:rsidRPr="0032494F" w:rsidRDefault="00F85507" w:rsidP="00252594">
            <w:pPr>
              <w:rPr>
                <w:szCs w:val="20"/>
                <w:lang w:val="en-GB"/>
              </w:rPr>
            </w:pPr>
          </w:p>
          <w:p w14:paraId="41D21CB1" w14:textId="77777777" w:rsidR="00F85507" w:rsidRPr="0032494F" w:rsidRDefault="00F85507" w:rsidP="00252594">
            <w:pPr>
              <w:rPr>
                <w:szCs w:val="20"/>
                <w:lang w:val="en-GB"/>
              </w:rPr>
            </w:pPr>
          </w:p>
          <w:p w14:paraId="0FEAAA26" w14:textId="77777777" w:rsidR="00B70A43" w:rsidRPr="0032494F" w:rsidRDefault="00B70A43" w:rsidP="00252594">
            <w:pPr>
              <w:rPr>
                <w:szCs w:val="20"/>
                <w:lang w:val="en-GB"/>
              </w:rPr>
            </w:pPr>
          </w:p>
          <w:p w14:paraId="34A39B93" w14:textId="785C81C0" w:rsidR="00F85507" w:rsidRPr="0032494F" w:rsidRDefault="00F85507" w:rsidP="00252594">
            <w:pPr>
              <w:rPr>
                <w:szCs w:val="20"/>
                <w:lang w:val="en-GB"/>
              </w:rPr>
            </w:pPr>
            <w:r w:rsidRPr="0032494F">
              <w:rPr>
                <w:szCs w:val="20"/>
                <w:lang w:val="en-GB"/>
              </w:rPr>
              <w:t>(l)</w:t>
            </w:r>
          </w:p>
          <w:p w14:paraId="0394381D" w14:textId="77777777" w:rsidR="00F85507" w:rsidRPr="0032494F" w:rsidRDefault="00F85507" w:rsidP="00252594">
            <w:pPr>
              <w:rPr>
                <w:szCs w:val="20"/>
                <w:lang w:val="en-GB"/>
              </w:rPr>
            </w:pPr>
          </w:p>
          <w:p w14:paraId="68395E9D" w14:textId="3C8DFBEF" w:rsidR="00F85507" w:rsidRPr="0032494F" w:rsidRDefault="00F85507" w:rsidP="00252594">
            <w:pPr>
              <w:rPr>
                <w:szCs w:val="20"/>
                <w:lang w:val="en-GB"/>
              </w:rPr>
            </w:pPr>
            <w:r w:rsidRPr="0032494F">
              <w:rPr>
                <w:szCs w:val="20"/>
                <w:lang w:val="en-GB"/>
              </w:rPr>
              <w:t>(</w:t>
            </w:r>
            <w:r w:rsidR="00B70A43" w:rsidRPr="0032494F">
              <w:rPr>
                <w:szCs w:val="20"/>
                <w:lang w:val="en-GB"/>
              </w:rPr>
              <w:t>m</w:t>
            </w:r>
            <w:r w:rsidRPr="0032494F">
              <w:rPr>
                <w:szCs w:val="20"/>
                <w:lang w:val="en-GB"/>
              </w:rPr>
              <w:t>)</w:t>
            </w:r>
          </w:p>
        </w:tc>
        <w:tc>
          <w:tcPr>
            <w:tcW w:w="9604" w:type="dxa"/>
          </w:tcPr>
          <w:p w14:paraId="7BEFA212" w14:textId="77777777" w:rsidR="00F85507" w:rsidRPr="0032494F" w:rsidRDefault="00F85507" w:rsidP="00252594">
            <w:pPr>
              <w:rPr>
                <w:szCs w:val="20"/>
              </w:rPr>
            </w:pPr>
            <w:r w:rsidRPr="0032494F">
              <w:rPr>
                <w:szCs w:val="20"/>
              </w:rPr>
              <w:t>Transmettre un compte prévisionnel d’exploitation par liaison</w:t>
            </w:r>
          </w:p>
          <w:p w14:paraId="3329821A" w14:textId="77777777" w:rsidR="00F85507" w:rsidRPr="0032494F" w:rsidRDefault="00F85507" w:rsidP="00252594">
            <w:pPr>
              <w:rPr>
                <w:szCs w:val="20"/>
              </w:rPr>
            </w:pPr>
          </w:p>
          <w:p w14:paraId="5A70F922" w14:textId="77777777" w:rsidR="00F85507" w:rsidRPr="0032494F" w:rsidRDefault="00F85507" w:rsidP="00252594">
            <w:pPr>
              <w:rPr>
                <w:szCs w:val="20"/>
              </w:rPr>
            </w:pPr>
            <w:r w:rsidRPr="0032494F">
              <w:rPr>
                <w:szCs w:val="20"/>
              </w:rPr>
              <w:t>Hors heures de vols de mise en place et heures de vols des appareils affrétés</w:t>
            </w:r>
          </w:p>
          <w:p w14:paraId="3B127773" w14:textId="77777777" w:rsidR="00F85507" w:rsidRPr="0032494F" w:rsidRDefault="00F85507" w:rsidP="00252594">
            <w:pPr>
              <w:rPr>
                <w:szCs w:val="20"/>
              </w:rPr>
            </w:pPr>
          </w:p>
          <w:p w14:paraId="4E7D5869" w14:textId="77777777" w:rsidR="00F85507" w:rsidRPr="0032494F" w:rsidRDefault="00F85507" w:rsidP="00252594">
            <w:pPr>
              <w:rPr>
                <w:szCs w:val="20"/>
              </w:rPr>
            </w:pPr>
            <w:r w:rsidRPr="0032494F">
              <w:rPr>
                <w:szCs w:val="20"/>
              </w:rPr>
              <w:t xml:space="preserve">Préciser le nombre d’appareils réservés exclusivement pour cette liaison ou, si le(s) appareil(s) utilisés sur la liaison est (sont) également utilisé(s) sur d’autres liaisons, indiquer le ratio suivant : </w:t>
            </w:r>
          </w:p>
          <w:p w14:paraId="39B5819F" w14:textId="77777777" w:rsidR="00F85507" w:rsidRPr="0032494F" w:rsidRDefault="00F85507" w:rsidP="00252594">
            <w:pPr>
              <w:jc w:val="center"/>
              <w:rPr>
                <w:szCs w:val="20"/>
              </w:rPr>
            </w:pPr>
            <w:r w:rsidRPr="0032494F">
              <w:rPr>
                <w:position w:val="-26"/>
                <w:szCs w:val="20"/>
              </w:rPr>
              <w:object w:dxaOrig="4120" w:dyaOrig="600" w14:anchorId="7DB42098">
                <v:shape id="_x0000_i1028" type="#_x0000_t75" style="width:206pt;height:30pt" o:ole="">
                  <v:imagedata r:id="rId14" o:title=""/>
                </v:shape>
                <o:OLEObject Type="Embed" ProgID="Equation.3" ShapeID="_x0000_i1028" DrawAspect="Content" ObjectID="_1815900199" r:id="rId15"/>
              </w:object>
            </w:r>
          </w:p>
          <w:p w14:paraId="033A8390" w14:textId="77777777" w:rsidR="00F85507" w:rsidRPr="0032494F" w:rsidRDefault="00F85507" w:rsidP="00252594">
            <w:pPr>
              <w:rPr>
                <w:szCs w:val="20"/>
                <w:u w:val="single"/>
              </w:rPr>
            </w:pPr>
            <w:r w:rsidRPr="0032494F">
              <w:rPr>
                <w:szCs w:val="20"/>
              </w:rPr>
              <w:t>(</w:t>
            </w:r>
            <w:proofErr w:type="gramStart"/>
            <w:r w:rsidRPr="0032494F">
              <w:rPr>
                <w:szCs w:val="20"/>
              </w:rPr>
              <w:t>dans</w:t>
            </w:r>
            <w:proofErr w:type="gramEnd"/>
            <w:r w:rsidRPr="0032494F">
              <w:rPr>
                <w:szCs w:val="20"/>
              </w:rPr>
              <w:t xml:space="preserve"> ce cas, le nombre d’appareils affectés à la liaison peut ne pas être entier)</w:t>
            </w:r>
          </w:p>
          <w:p w14:paraId="76D5D3C5" w14:textId="77777777" w:rsidR="00F85507" w:rsidRPr="0032494F" w:rsidRDefault="00F85507" w:rsidP="00252594">
            <w:pPr>
              <w:rPr>
                <w:szCs w:val="20"/>
              </w:rPr>
            </w:pPr>
          </w:p>
          <w:p w14:paraId="042A3012" w14:textId="77777777" w:rsidR="00F85507" w:rsidRPr="0032494F" w:rsidRDefault="00F85507" w:rsidP="00252594">
            <w:pPr>
              <w:rPr>
                <w:szCs w:val="20"/>
              </w:rPr>
            </w:pPr>
            <w:r w:rsidRPr="0032494F">
              <w:rPr>
                <w:szCs w:val="20"/>
              </w:rPr>
              <w:t>Hors taxes d’aéroport, d’aviation civile et redevance passagers</w:t>
            </w:r>
          </w:p>
          <w:p w14:paraId="6182E48D" w14:textId="77777777" w:rsidR="00F85507" w:rsidRPr="0032494F" w:rsidRDefault="00F85507" w:rsidP="00252594">
            <w:pPr>
              <w:rPr>
                <w:szCs w:val="20"/>
              </w:rPr>
            </w:pPr>
          </w:p>
          <w:p w14:paraId="7586D008" w14:textId="77777777" w:rsidR="00F85507" w:rsidRPr="0032494F" w:rsidRDefault="00F85507" w:rsidP="00252594">
            <w:pPr>
              <w:rPr>
                <w:szCs w:val="20"/>
              </w:rPr>
            </w:pPr>
            <w:r w:rsidRPr="0032494F">
              <w:rPr>
                <w:szCs w:val="20"/>
              </w:rPr>
              <w:t>Hors taxes sur la valeur ajoutée, d’aéroport et d’aviation civile</w:t>
            </w:r>
          </w:p>
          <w:p w14:paraId="4FE7C8CD" w14:textId="77777777" w:rsidR="00F85507" w:rsidRPr="0032494F" w:rsidRDefault="00F85507" w:rsidP="00252594">
            <w:pPr>
              <w:rPr>
                <w:szCs w:val="20"/>
              </w:rPr>
            </w:pPr>
          </w:p>
          <w:p w14:paraId="0A0F5118" w14:textId="77777777" w:rsidR="00F85507" w:rsidRPr="0032494F" w:rsidRDefault="00F85507" w:rsidP="00252594">
            <w:pPr>
              <w:rPr>
                <w:szCs w:val="20"/>
              </w:rPr>
            </w:pPr>
            <w:r w:rsidRPr="0032494F">
              <w:rPr>
                <w:szCs w:val="20"/>
              </w:rPr>
              <w:t>Hors taxe sur la valeur ajoutée</w:t>
            </w:r>
          </w:p>
          <w:p w14:paraId="08A6B96C" w14:textId="77777777" w:rsidR="00F85507" w:rsidRPr="0032494F" w:rsidRDefault="00F85507" w:rsidP="00252594">
            <w:pPr>
              <w:rPr>
                <w:szCs w:val="20"/>
              </w:rPr>
            </w:pPr>
          </w:p>
          <w:p w14:paraId="7F242472" w14:textId="77777777" w:rsidR="00F85507" w:rsidRPr="0032494F" w:rsidRDefault="00F85507" w:rsidP="00252594">
            <w:pPr>
              <w:rPr>
                <w:szCs w:val="20"/>
              </w:rPr>
            </w:pPr>
            <w:r w:rsidRPr="0032494F">
              <w:rPr>
                <w:szCs w:val="20"/>
              </w:rPr>
              <w:t>Y compris les subventions versées par d’autres personnes publiques</w:t>
            </w:r>
          </w:p>
          <w:p w14:paraId="28971CCE" w14:textId="77777777" w:rsidR="00F85507" w:rsidRPr="0032494F" w:rsidRDefault="00F85507" w:rsidP="00252594">
            <w:pPr>
              <w:rPr>
                <w:szCs w:val="20"/>
              </w:rPr>
            </w:pPr>
          </w:p>
          <w:p w14:paraId="4838DA2F" w14:textId="77777777" w:rsidR="00F85507" w:rsidRPr="0032494F" w:rsidRDefault="00F85507" w:rsidP="00252594">
            <w:pPr>
              <w:rPr>
                <w:szCs w:val="20"/>
              </w:rPr>
            </w:pPr>
            <w:r w:rsidRPr="0032494F">
              <w:rPr>
                <w:szCs w:val="20"/>
              </w:rPr>
              <w:t>Loyers éventuels de crédit-bail en « loyers coques »</w:t>
            </w:r>
          </w:p>
          <w:p w14:paraId="481724A0" w14:textId="77777777" w:rsidR="00F85507" w:rsidRPr="0032494F" w:rsidRDefault="00F85507" w:rsidP="00252594">
            <w:pPr>
              <w:rPr>
                <w:szCs w:val="20"/>
              </w:rPr>
            </w:pPr>
          </w:p>
          <w:p w14:paraId="3AE4E903" w14:textId="77777777" w:rsidR="00F85507" w:rsidRPr="0032494F" w:rsidRDefault="00F85507" w:rsidP="00252594">
            <w:pPr>
              <w:rPr>
                <w:szCs w:val="20"/>
              </w:rPr>
            </w:pPr>
            <w:r w:rsidRPr="0032494F">
              <w:rPr>
                <w:szCs w:val="20"/>
              </w:rPr>
              <w:t>Ne pas retraiter les loyers de crédit-bail dans les frais financiers et amortissements</w:t>
            </w:r>
          </w:p>
          <w:p w14:paraId="7ACBFE97" w14:textId="77777777" w:rsidR="00F85507" w:rsidRPr="0032494F" w:rsidRDefault="00F85507" w:rsidP="00252594">
            <w:pPr>
              <w:rPr>
                <w:szCs w:val="20"/>
              </w:rPr>
            </w:pPr>
          </w:p>
          <w:p w14:paraId="7EF2D346" w14:textId="77777777" w:rsidR="00F85507" w:rsidRPr="0032494F" w:rsidRDefault="00F85507" w:rsidP="00252594">
            <w:pPr>
              <w:rPr>
                <w:szCs w:val="20"/>
              </w:rPr>
            </w:pPr>
            <w:r w:rsidRPr="0032494F">
              <w:rPr>
                <w:szCs w:val="20"/>
              </w:rPr>
              <w:t>Salaires et charges PNT et PNC et frais d’étapes équipage</w:t>
            </w:r>
          </w:p>
          <w:p w14:paraId="44A01E57" w14:textId="77777777" w:rsidR="00F85507" w:rsidRPr="0032494F" w:rsidRDefault="00F85507" w:rsidP="00252594">
            <w:pPr>
              <w:rPr>
                <w:szCs w:val="20"/>
              </w:rPr>
            </w:pPr>
          </w:p>
          <w:p w14:paraId="4DB8B776" w14:textId="77777777" w:rsidR="00F85507" w:rsidRPr="0032494F" w:rsidRDefault="00F85507" w:rsidP="00252594">
            <w:pPr>
              <w:rPr>
                <w:szCs w:val="20"/>
              </w:rPr>
            </w:pPr>
            <w:r w:rsidRPr="0032494F">
              <w:rPr>
                <w:szCs w:val="20"/>
              </w:rPr>
              <w:t>Total des frais d’affrètement à l’exclusion des frais restant à la charge de la compagnie exploitant la liaison (ces frais doivent être portés dans les postes de coûts correspondants)</w:t>
            </w:r>
          </w:p>
          <w:p w14:paraId="42630B20" w14:textId="77777777" w:rsidR="00F85507" w:rsidRPr="0032494F" w:rsidRDefault="00F85507" w:rsidP="00252594">
            <w:pPr>
              <w:rPr>
                <w:szCs w:val="20"/>
              </w:rPr>
            </w:pPr>
          </w:p>
          <w:p w14:paraId="6CAE9B9F" w14:textId="77777777" w:rsidR="00F85507" w:rsidRPr="0032494F" w:rsidRDefault="00F85507" w:rsidP="00252594">
            <w:pPr>
              <w:rPr>
                <w:szCs w:val="20"/>
              </w:rPr>
            </w:pPr>
            <w:r w:rsidRPr="0032494F">
              <w:rPr>
                <w:szCs w:val="20"/>
              </w:rPr>
              <w:t>RSTCA et redevances de route</w:t>
            </w:r>
          </w:p>
          <w:p w14:paraId="01950A2B" w14:textId="77777777" w:rsidR="00F85507" w:rsidRPr="0032494F" w:rsidRDefault="00F85507" w:rsidP="00252594">
            <w:pPr>
              <w:rPr>
                <w:szCs w:val="20"/>
              </w:rPr>
            </w:pPr>
          </w:p>
          <w:p w14:paraId="2E06C55C" w14:textId="77777777" w:rsidR="00B70A43" w:rsidRPr="0032494F" w:rsidRDefault="00B70A43" w:rsidP="00B70A43">
            <w:pPr>
              <w:jc w:val="both"/>
              <w:rPr>
                <w:sz w:val="20"/>
                <w:szCs w:val="20"/>
              </w:rPr>
            </w:pPr>
            <w:r w:rsidRPr="0032494F">
              <w:rPr>
                <w:sz w:val="20"/>
                <w:szCs w:val="20"/>
              </w:rPr>
              <w:t>Y-</w:t>
            </w:r>
            <w:r w:rsidRPr="0032494F">
              <w:rPr>
                <w:szCs w:val="20"/>
              </w:rPr>
              <w:t>compris les coûts éventuels liés à l’assujettissement du transporteur au dispositif SEQE-UE</w:t>
            </w:r>
          </w:p>
          <w:p w14:paraId="4DB3BA35" w14:textId="59D5FA50" w:rsidR="00F85507" w:rsidRPr="0032494F" w:rsidRDefault="00F85507" w:rsidP="00252594">
            <w:pPr>
              <w:rPr>
                <w:szCs w:val="20"/>
              </w:rPr>
            </w:pPr>
          </w:p>
        </w:tc>
      </w:tr>
    </w:tbl>
    <w:p w14:paraId="03513AC7" w14:textId="77777777" w:rsidR="00F85507" w:rsidRPr="004D6298" w:rsidRDefault="00F85507" w:rsidP="00F85507">
      <w:pPr>
        <w:jc w:val="center"/>
      </w:pPr>
    </w:p>
    <w:p w14:paraId="5E48906D" w14:textId="77777777" w:rsidR="00F85507" w:rsidRDefault="00F85507">
      <w:pPr>
        <w:pStyle w:val="NormalWeb"/>
        <w:spacing w:before="0" w:beforeAutospacing="0" w:after="0" w:afterAutospacing="0"/>
        <w:jc w:val="center"/>
        <w:rPr>
          <w:rFonts w:ascii="Times New Roman" w:hAnsi="Times New Roman" w:cs="Times New Roman"/>
          <w:b/>
          <w:bCs/>
          <w:sz w:val="24"/>
          <w:szCs w:val="24"/>
        </w:rPr>
      </w:pPr>
    </w:p>
    <w:p w14:paraId="20D995EA" w14:textId="77777777" w:rsidR="00EB672F" w:rsidRDefault="00EB672F">
      <w:pPr>
        <w:pStyle w:val="NormalWeb"/>
        <w:jc w:val="center"/>
        <w:rPr>
          <w:rFonts w:ascii="Times New Roman" w:hAnsi="Times New Roman" w:cs="Times New Roman"/>
          <w:sz w:val="24"/>
          <w:szCs w:val="24"/>
        </w:rPr>
      </w:pPr>
    </w:p>
    <w:p w14:paraId="5658E88E" w14:textId="77777777" w:rsidR="00EB672F" w:rsidRDefault="00EB672F">
      <w:pPr>
        <w:pStyle w:val="NormalWeb"/>
        <w:jc w:val="center"/>
        <w:rPr>
          <w:rFonts w:ascii="Times New Roman" w:hAnsi="Times New Roman" w:cs="Times New Roman"/>
          <w:sz w:val="24"/>
          <w:szCs w:val="24"/>
        </w:rPr>
      </w:pPr>
    </w:p>
    <w:p w14:paraId="2BDE726B" w14:textId="77777777" w:rsidR="00EB672F" w:rsidRDefault="00EB672F">
      <w:pPr>
        <w:pStyle w:val="NormalWeb"/>
        <w:spacing w:before="0" w:beforeAutospacing="0" w:after="0" w:afterAutospacing="0"/>
        <w:rPr>
          <w:rFonts w:ascii="Times New Roman" w:hAnsi="Times New Roman" w:cs="Times New Roman"/>
          <w:sz w:val="24"/>
          <w:szCs w:val="24"/>
        </w:rPr>
      </w:pPr>
      <w:r>
        <w:rPr>
          <w:rFonts w:ascii="Times New Roman" w:hAnsi="Times New Roman" w:cs="Times New Roman"/>
          <w:sz w:val="24"/>
          <w:szCs w:val="24"/>
        </w:rPr>
        <w:br/>
      </w:r>
    </w:p>
    <w:p w14:paraId="0FD83CC1" w14:textId="3D223492" w:rsidR="00EB672F" w:rsidRDefault="00EB672F">
      <w:pPr>
        <w:pStyle w:val="NormalWeb"/>
        <w:spacing w:before="0" w:beforeAutospacing="0" w:after="0" w:afterAutospacing="0"/>
        <w:rPr>
          <w:sz w:val="22"/>
          <w:szCs w:val="22"/>
        </w:rPr>
      </w:pPr>
    </w:p>
    <w:p w14:paraId="714872A0" w14:textId="4B62AD8F" w:rsidR="00422B53" w:rsidRDefault="00422B53">
      <w:pPr>
        <w:jc w:val="center"/>
        <w:rPr>
          <w:sz w:val="8"/>
          <w:szCs w:val="8"/>
        </w:rPr>
      </w:pPr>
    </w:p>
    <w:sectPr w:rsidR="00422B53">
      <w:headerReference w:type="default" r:id="rId16"/>
      <w:footerReference w:type="default" r:id="rId17"/>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C69BA" w14:textId="77777777" w:rsidR="00252594" w:rsidRDefault="00252594">
      <w:r>
        <w:separator/>
      </w:r>
    </w:p>
  </w:endnote>
  <w:endnote w:type="continuationSeparator" w:id="0">
    <w:p w14:paraId="2652B982" w14:textId="77777777" w:rsidR="00252594" w:rsidRDefault="00252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ajan Pro">
    <w:altName w:val="Times New Roman"/>
    <w:panose1 w:val="00000000000000000000"/>
    <w:charset w:val="00"/>
    <w:family w:val="roman"/>
    <w:notTrueType/>
    <w:pitch w:val="variable"/>
    <w:sig w:usb0="00000007"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97867" w14:textId="77777777" w:rsidR="00252594" w:rsidRDefault="00252594">
    <w:pPr>
      <w:pStyle w:val="Pieddepage"/>
      <w:jc w:val="center"/>
      <w:rPr>
        <w:sz w:val="20"/>
        <w:szCs w:val="20"/>
      </w:rPr>
    </w:pPr>
    <w:r w:rsidRPr="00DA3202">
      <w:rPr>
        <w:sz w:val="20"/>
        <w:szCs w:val="20"/>
      </w:rPr>
      <w:t xml:space="preserve">- </w:t>
    </w:r>
    <w:r w:rsidRPr="00DA3202">
      <w:rPr>
        <w:sz w:val="20"/>
        <w:szCs w:val="20"/>
      </w:rPr>
      <w:fldChar w:fldCharType="begin"/>
    </w:r>
    <w:r w:rsidRPr="00DA3202">
      <w:rPr>
        <w:sz w:val="20"/>
        <w:szCs w:val="20"/>
      </w:rPr>
      <w:instrText xml:space="preserve"> PAGE </w:instrText>
    </w:r>
    <w:r w:rsidRPr="00DA3202">
      <w:rPr>
        <w:sz w:val="20"/>
        <w:szCs w:val="20"/>
      </w:rPr>
      <w:fldChar w:fldCharType="separate"/>
    </w:r>
    <w:r>
      <w:rPr>
        <w:noProof/>
        <w:sz w:val="20"/>
        <w:szCs w:val="20"/>
      </w:rPr>
      <w:t>2</w:t>
    </w:r>
    <w:r w:rsidRPr="00DA3202">
      <w:rPr>
        <w:sz w:val="20"/>
        <w:szCs w:val="20"/>
      </w:rPr>
      <w:fldChar w:fldCharType="end"/>
    </w:r>
    <w:r w:rsidRPr="00DA3202">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F33FBD" w14:textId="77777777" w:rsidR="00252594" w:rsidRDefault="00252594">
      <w:r>
        <w:separator/>
      </w:r>
    </w:p>
  </w:footnote>
  <w:footnote w:type="continuationSeparator" w:id="0">
    <w:p w14:paraId="3C7EB14E" w14:textId="77777777" w:rsidR="00252594" w:rsidRDefault="00252594">
      <w:r>
        <w:continuationSeparator/>
      </w:r>
    </w:p>
  </w:footnote>
  <w:footnote w:id="1">
    <w:p w14:paraId="519F07B8" w14:textId="1E86A64B" w:rsidR="00951ADF" w:rsidRPr="00463A24" w:rsidRDefault="00951ADF" w:rsidP="00951ADF">
      <w:pPr>
        <w:pStyle w:val="Notedebasdepage"/>
      </w:pPr>
      <w:r>
        <w:rPr>
          <w:rStyle w:val="Appelnotedebasdep"/>
        </w:rPr>
        <w:footnoteRef/>
      </w:r>
      <w:r w:rsidRPr="00463A24">
        <w:t xml:space="preserve">. </w:t>
      </w:r>
    </w:p>
    <w:p w14:paraId="5CF80E4F" w14:textId="77777777" w:rsidR="00951ADF" w:rsidRPr="00F3030B" w:rsidRDefault="00951ADF" w:rsidP="00951ADF">
      <w:pPr>
        <w:pStyle w:val="Notedebasdepage"/>
      </w:pPr>
    </w:p>
    <w:p w14:paraId="3349DF31" w14:textId="77777777" w:rsidR="00951ADF" w:rsidRDefault="00951ADF" w:rsidP="00951ADF">
      <w:pPr>
        <w:pStyle w:val="Notedebasdepage"/>
      </w:pPr>
    </w:p>
    <w:p w14:paraId="34042342" w14:textId="77777777" w:rsidR="00951ADF" w:rsidRDefault="00951ADF" w:rsidP="00951ADF">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0D2BA" w14:textId="77777777" w:rsidR="00252594" w:rsidRPr="00EE1D64" w:rsidRDefault="00252594">
    <w:pPr>
      <w:pStyle w:val="En-tte"/>
      <w:rPr>
        <w:color w:val="FF0000"/>
      </w:rPr>
    </w:pPr>
    <w:r>
      <w:rPr>
        <w:color w:val="FF0000"/>
      </w:rPr>
      <w:tab/>
    </w:r>
    <w:r>
      <w:rPr>
        <w:color w:val="FF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E2B71"/>
    <w:multiLevelType w:val="hybridMultilevel"/>
    <w:tmpl w:val="BB9499F0"/>
    <w:lvl w:ilvl="0" w:tplc="14E05D90">
      <w:start w:val="5"/>
      <w:numFmt w:val="bullet"/>
      <w:lvlText w:val="–"/>
      <w:lvlJc w:val="left"/>
      <w:pPr>
        <w:tabs>
          <w:tab w:val="num" w:pos="1560"/>
        </w:tabs>
        <w:ind w:left="1560" w:hanging="120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EBA03E7"/>
    <w:multiLevelType w:val="multilevel"/>
    <w:tmpl w:val="6BA8A10A"/>
    <w:lvl w:ilvl="0">
      <w:start w:val="5"/>
      <w:numFmt w:val="bullet"/>
      <w:lvlText w:val="–"/>
      <w:lvlJc w:val="left"/>
      <w:pPr>
        <w:tabs>
          <w:tab w:val="num" w:pos="851"/>
        </w:tabs>
        <w:ind w:left="851" w:hanging="131"/>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0B57CD"/>
    <w:multiLevelType w:val="hybridMultilevel"/>
    <w:tmpl w:val="F9002002"/>
    <w:lvl w:ilvl="0" w:tplc="014E7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99173C"/>
    <w:multiLevelType w:val="hybridMultilevel"/>
    <w:tmpl w:val="19CE64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C7170D0"/>
    <w:multiLevelType w:val="hybridMultilevel"/>
    <w:tmpl w:val="531E2602"/>
    <w:lvl w:ilvl="0" w:tplc="040C0001">
      <w:start w:val="1"/>
      <w:numFmt w:val="bullet"/>
      <w:lvlText w:val=""/>
      <w:lvlJc w:val="left"/>
      <w:pPr>
        <w:tabs>
          <w:tab w:val="num" w:pos="1425"/>
        </w:tabs>
        <w:ind w:left="142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5" w15:restartNumberingAfterBreak="0">
    <w:nsid w:val="539261D8"/>
    <w:multiLevelType w:val="hybridMultilevel"/>
    <w:tmpl w:val="B3C0520C"/>
    <w:lvl w:ilvl="0" w:tplc="A0045CD8">
      <w:start w:val="5"/>
      <w:numFmt w:val="bullet"/>
      <w:lvlText w:val="–"/>
      <w:lvlJc w:val="left"/>
      <w:pPr>
        <w:tabs>
          <w:tab w:val="num" w:pos="1680"/>
        </w:tabs>
        <w:ind w:left="1680" w:hanging="264"/>
      </w:pPr>
      <w:rPr>
        <w:rFonts w:ascii="Times New Roman" w:eastAsia="Times New Roman" w:hAnsi="Times New Roman" w:cs="Times New Roman"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6" w15:restartNumberingAfterBreak="0">
    <w:nsid w:val="585868CD"/>
    <w:multiLevelType w:val="hybridMultilevel"/>
    <w:tmpl w:val="E48677D8"/>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7" w15:restartNumberingAfterBreak="0">
    <w:nsid w:val="5E4E3141"/>
    <w:multiLevelType w:val="hybridMultilevel"/>
    <w:tmpl w:val="6BA8A10A"/>
    <w:lvl w:ilvl="0" w:tplc="3DBA916E">
      <w:start w:val="5"/>
      <w:numFmt w:val="bullet"/>
      <w:lvlText w:val="–"/>
      <w:lvlJc w:val="left"/>
      <w:pPr>
        <w:tabs>
          <w:tab w:val="num" w:pos="851"/>
        </w:tabs>
        <w:ind w:left="851" w:hanging="131"/>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4E6201A"/>
    <w:multiLevelType w:val="hybridMultilevel"/>
    <w:tmpl w:val="6D6E9C9E"/>
    <w:lvl w:ilvl="0" w:tplc="C272483E">
      <w:start w:val="1"/>
      <w:numFmt w:val="bullet"/>
      <w:lvlText w:val=""/>
      <w:lvlJc w:val="left"/>
      <w:pPr>
        <w:tabs>
          <w:tab w:val="num" w:pos="720"/>
        </w:tabs>
        <w:ind w:left="720" w:hanging="360"/>
      </w:pPr>
      <w:rPr>
        <w:rFonts w:ascii="Symbol" w:hAnsi="Symbol" w:cs="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C1B2179"/>
    <w:multiLevelType w:val="hybridMultilevel"/>
    <w:tmpl w:val="C9ECE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59220343">
    <w:abstractNumId w:val="8"/>
  </w:num>
  <w:num w:numId="2" w16cid:durableId="1547375269">
    <w:abstractNumId w:val="0"/>
  </w:num>
  <w:num w:numId="3" w16cid:durableId="1272275239">
    <w:abstractNumId w:val="7"/>
  </w:num>
  <w:num w:numId="4" w16cid:durableId="350111241">
    <w:abstractNumId w:val="1"/>
  </w:num>
  <w:num w:numId="5" w16cid:durableId="38239202">
    <w:abstractNumId w:val="5"/>
  </w:num>
  <w:num w:numId="6" w16cid:durableId="277226078">
    <w:abstractNumId w:val="4"/>
  </w:num>
  <w:num w:numId="7" w16cid:durableId="1136797383">
    <w:abstractNumId w:val="6"/>
  </w:num>
  <w:num w:numId="8" w16cid:durableId="1228493709">
    <w:abstractNumId w:val="2"/>
  </w:num>
  <w:num w:numId="9" w16cid:durableId="2145001537">
    <w:abstractNumId w:val="3"/>
  </w:num>
  <w:num w:numId="10" w16cid:durableId="981083466">
    <w:abstractNumId w:val="9"/>
  </w:num>
  <w:num w:numId="11" w16cid:durableId="1513373882">
    <w:abstractNumId w:val="2"/>
  </w:num>
  <w:num w:numId="12" w16cid:durableId="1514764669">
    <w:abstractNumId w:val="3"/>
  </w:num>
  <w:num w:numId="13" w16cid:durableId="594485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7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72F"/>
    <w:rsid w:val="000039FA"/>
    <w:rsid w:val="00003C7A"/>
    <w:rsid w:val="00007483"/>
    <w:rsid w:val="000124B4"/>
    <w:rsid w:val="00025432"/>
    <w:rsid w:val="0002779F"/>
    <w:rsid w:val="0003127B"/>
    <w:rsid w:val="000353A1"/>
    <w:rsid w:val="00052B26"/>
    <w:rsid w:val="0006000E"/>
    <w:rsid w:val="0007551E"/>
    <w:rsid w:val="00085F8C"/>
    <w:rsid w:val="0009044E"/>
    <w:rsid w:val="00091895"/>
    <w:rsid w:val="00095F34"/>
    <w:rsid w:val="000A2B33"/>
    <w:rsid w:val="000C4F0F"/>
    <w:rsid w:val="000F7B40"/>
    <w:rsid w:val="00103038"/>
    <w:rsid w:val="00105FC9"/>
    <w:rsid w:val="0011449C"/>
    <w:rsid w:val="0015137A"/>
    <w:rsid w:val="00163A40"/>
    <w:rsid w:val="001728B2"/>
    <w:rsid w:val="001B7EE0"/>
    <w:rsid w:val="001C3ABF"/>
    <w:rsid w:val="001C6381"/>
    <w:rsid w:val="001E571A"/>
    <w:rsid w:val="002075D5"/>
    <w:rsid w:val="00213A09"/>
    <w:rsid w:val="002167F8"/>
    <w:rsid w:val="002275F7"/>
    <w:rsid w:val="00244124"/>
    <w:rsid w:val="00252594"/>
    <w:rsid w:val="00256F49"/>
    <w:rsid w:val="00256F6D"/>
    <w:rsid w:val="00257A53"/>
    <w:rsid w:val="00261538"/>
    <w:rsid w:val="00264378"/>
    <w:rsid w:val="00280779"/>
    <w:rsid w:val="002924B0"/>
    <w:rsid w:val="00293293"/>
    <w:rsid w:val="002C51E7"/>
    <w:rsid w:val="002E2EE5"/>
    <w:rsid w:val="002E4CAB"/>
    <w:rsid w:val="00300AC7"/>
    <w:rsid w:val="003029A6"/>
    <w:rsid w:val="0030737D"/>
    <w:rsid w:val="00310A46"/>
    <w:rsid w:val="00314BA0"/>
    <w:rsid w:val="00323623"/>
    <w:rsid w:val="0032494F"/>
    <w:rsid w:val="00331C85"/>
    <w:rsid w:val="0035136C"/>
    <w:rsid w:val="00354824"/>
    <w:rsid w:val="00361826"/>
    <w:rsid w:val="00367FAC"/>
    <w:rsid w:val="003922A1"/>
    <w:rsid w:val="00395618"/>
    <w:rsid w:val="003A6229"/>
    <w:rsid w:val="003B4417"/>
    <w:rsid w:val="003C023C"/>
    <w:rsid w:val="003C4FA8"/>
    <w:rsid w:val="003D0D22"/>
    <w:rsid w:val="003D6C71"/>
    <w:rsid w:val="003E24CB"/>
    <w:rsid w:val="003E7B90"/>
    <w:rsid w:val="003F071F"/>
    <w:rsid w:val="00400719"/>
    <w:rsid w:val="00422B53"/>
    <w:rsid w:val="004307EB"/>
    <w:rsid w:val="00431189"/>
    <w:rsid w:val="00451822"/>
    <w:rsid w:val="00453B96"/>
    <w:rsid w:val="00454374"/>
    <w:rsid w:val="00463A24"/>
    <w:rsid w:val="00477CDA"/>
    <w:rsid w:val="00484F60"/>
    <w:rsid w:val="004909D2"/>
    <w:rsid w:val="00493256"/>
    <w:rsid w:val="00496DFC"/>
    <w:rsid w:val="004A38DA"/>
    <w:rsid w:val="004A51C5"/>
    <w:rsid w:val="004B082F"/>
    <w:rsid w:val="004B6066"/>
    <w:rsid w:val="004C3B9C"/>
    <w:rsid w:val="004C75D9"/>
    <w:rsid w:val="004E1FE3"/>
    <w:rsid w:val="004F1CF5"/>
    <w:rsid w:val="004F677A"/>
    <w:rsid w:val="0050009C"/>
    <w:rsid w:val="00501A71"/>
    <w:rsid w:val="00521C31"/>
    <w:rsid w:val="00536FC2"/>
    <w:rsid w:val="0055091B"/>
    <w:rsid w:val="0055117C"/>
    <w:rsid w:val="00562A93"/>
    <w:rsid w:val="00563201"/>
    <w:rsid w:val="00573132"/>
    <w:rsid w:val="00574FE1"/>
    <w:rsid w:val="005843D2"/>
    <w:rsid w:val="005F499C"/>
    <w:rsid w:val="00602372"/>
    <w:rsid w:val="006055E1"/>
    <w:rsid w:val="0062485F"/>
    <w:rsid w:val="0065040C"/>
    <w:rsid w:val="006547DD"/>
    <w:rsid w:val="00655B9C"/>
    <w:rsid w:val="00694A50"/>
    <w:rsid w:val="006B65B8"/>
    <w:rsid w:val="006D0AD2"/>
    <w:rsid w:val="006E0AEF"/>
    <w:rsid w:val="006F40D0"/>
    <w:rsid w:val="00703AB1"/>
    <w:rsid w:val="00704850"/>
    <w:rsid w:val="00710341"/>
    <w:rsid w:val="00710E5B"/>
    <w:rsid w:val="00714297"/>
    <w:rsid w:val="007168EE"/>
    <w:rsid w:val="00750B5B"/>
    <w:rsid w:val="00780AB3"/>
    <w:rsid w:val="007A6F22"/>
    <w:rsid w:val="007C2433"/>
    <w:rsid w:val="007C5291"/>
    <w:rsid w:val="007D6EBA"/>
    <w:rsid w:val="007E6D3F"/>
    <w:rsid w:val="007E74F1"/>
    <w:rsid w:val="007F2410"/>
    <w:rsid w:val="00810F51"/>
    <w:rsid w:val="00865847"/>
    <w:rsid w:val="00874048"/>
    <w:rsid w:val="008935D2"/>
    <w:rsid w:val="008A07BF"/>
    <w:rsid w:val="008B47BB"/>
    <w:rsid w:val="008B6421"/>
    <w:rsid w:val="008C31B0"/>
    <w:rsid w:val="008C3CB4"/>
    <w:rsid w:val="008C55BA"/>
    <w:rsid w:val="008D2D98"/>
    <w:rsid w:val="008D3852"/>
    <w:rsid w:val="008D57B6"/>
    <w:rsid w:val="008E50B3"/>
    <w:rsid w:val="008F72F5"/>
    <w:rsid w:val="009108F4"/>
    <w:rsid w:val="00923825"/>
    <w:rsid w:val="00933D9C"/>
    <w:rsid w:val="00950F3B"/>
    <w:rsid w:val="00951ADF"/>
    <w:rsid w:val="00957F6B"/>
    <w:rsid w:val="00963832"/>
    <w:rsid w:val="00964386"/>
    <w:rsid w:val="009704D0"/>
    <w:rsid w:val="00984921"/>
    <w:rsid w:val="009C0C29"/>
    <w:rsid w:val="009D209D"/>
    <w:rsid w:val="009F6E1D"/>
    <w:rsid w:val="00A00D5D"/>
    <w:rsid w:val="00A27A1B"/>
    <w:rsid w:val="00A3625D"/>
    <w:rsid w:val="00A368C4"/>
    <w:rsid w:val="00A44DA3"/>
    <w:rsid w:val="00A4502E"/>
    <w:rsid w:val="00A4582A"/>
    <w:rsid w:val="00A5074A"/>
    <w:rsid w:val="00A709BA"/>
    <w:rsid w:val="00A94488"/>
    <w:rsid w:val="00A95DB4"/>
    <w:rsid w:val="00AD0133"/>
    <w:rsid w:val="00AE1866"/>
    <w:rsid w:val="00AE30E0"/>
    <w:rsid w:val="00AF052B"/>
    <w:rsid w:val="00B13108"/>
    <w:rsid w:val="00B22303"/>
    <w:rsid w:val="00B2560D"/>
    <w:rsid w:val="00B26AD3"/>
    <w:rsid w:val="00B30145"/>
    <w:rsid w:val="00B43C12"/>
    <w:rsid w:val="00B6011C"/>
    <w:rsid w:val="00B619BD"/>
    <w:rsid w:val="00B70A43"/>
    <w:rsid w:val="00B734BE"/>
    <w:rsid w:val="00B81244"/>
    <w:rsid w:val="00BA1C0E"/>
    <w:rsid w:val="00BB4964"/>
    <w:rsid w:val="00BE0C52"/>
    <w:rsid w:val="00BE269D"/>
    <w:rsid w:val="00BE50AF"/>
    <w:rsid w:val="00BF59C4"/>
    <w:rsid w:val="00C02640"/>
    <w:rsid w:val="00C077E4"/>
    <w:rsid w:val="00C25482"/>
    <w:rsid w:val="00C5197F"/>
    <w:rsid w:val="00C53B5C"/>
    <w:rsid w:val="00C93048"/>
    <w:rsid w:val="00D079D6"/>
    <w:rsid w:val="00D3602D"/>
    <w:rsid w:val="00D36A12"/>
    <w:rsid w:val="00D423EC"/>
    <w:rsid w:val="00D42909"/>
    <w:rsid w:val="00D62D4D"/>
    <w:rsid w:val="00D63F99"/>
    <w:rsid w:val="00D7781A"/>
    <w:rsid w:val="00D77CDA"/>
    <w:rsid w:val="00D96A2E"/>
    <w:rsid w:val="00DA3202"/>
    <w:rsid w:val="00DA776A"/>
    <w:rsid w:val="00DC2846"/>
    <w:rsid w:val="00DD1200"/>
    <w:rsid w:val="00DD23FC"/>
    <w:rsid w:val="00E05C15"/>
    <w:rsid w:val="00E17BF2"/>
    <w:rsid w:val="00E33AFB"/>
    <w:rsid w:val="00E557D9"/>
    <w:rsid w:val="00E610F9"/>
    <w:rsid w:val="00E63DDB"/>
    <w:rsid w:val="00E64F28"/>
    <w:rsid w:val="00E65FB8"/>
    <w:rsid w:val="00E67E3D"/>
    <w:rsid w:val="00E9172C"/>
    <w:rsid w:val="00E9538F"/>
    <w:rsid w:val="00EA58EB"/>
    <w:rsid w:val="00EB32E2"/>
    <w:rsid w:val="00EB4807"/>
    <w:rsid w:val="00EB672F"/>
    <w:rsid w:val="00EC50CB"/>
    <w:rsid w:val="00ED61A7"/>
    <w:rsid w:val="00EE1D64"/>
    <w:rsid w:val="00EE745A"/>
    <w:rsid w:val="00EF0CD0"/>
    <w:rsid w:val="00EF27A3"/>
    <w:rsid w:val="00EF52F2"/>
    <w:rsid w:val="00EF7154"/>
    <w:rsid w:val="00F1582E"/>
    <w:rsid w:val="00F3030B"/>
    <w:rsid w:val="00F310F3"/>
    <w:rsid w:val="00F40887"/>
    <w:rsid w:val="00F41369"/>
    <w:rsid w:val="00F71913"/>
    <w:rsid w:val="00F72712"/>
    <w:rsid w:val="00F85507"/>
    <w:rsid w:val="00F907CF"/>
    <w:rsid w:val="00FB17B7"/>
    <w:rsid w:val="00FB19E6"/>
    <w:rsid w:val="00FD6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4:docId w14:val="260B2AAD"/>
  <w15:docId w15:val="{737C9908-58F7-4D7C-B09C-DFD6721A2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MS Mincho"/>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pPr>
      <w:spacing w:before="100" w:beforeAutospacing="1" w:after="100" w:afterAutospacing="1"/>
    </w:pPr>
    <w:rPr>
      <w:rFonts w:ascii="Arial" w:eastAsia="Times New Roman" w:hAnsi="Arial" w:cs="Arial"/>
      <w:color w:val="000000"/>
      <w:sz w:val="18"/>
      <w:szCs w:val="18"/>
      <w:lang w:eastAsia="fr-FR"/>
    </w:rPr>
  </w:style>
  <w:style w:type="paragraph" w:styleId="Pieddepage">
    <w:name w:val="footer"/>
    <w:basedOn w:val="Normal"/>
    <w:pPr>
      <w:tabs>
        <w:tab w:val="center" w:pos="4536"/>
        <w:tab w:val="right" w:pos="9072"/>
      </w:tabs>
    </w:pPr>
  </w:style>
  <w:style w:type="paragraph" w:styleId="En-tte">
    <w:name w:val="header"/>
    <w:basedOn w:val="Normal"/>
    <w:pPr>
      <w:tabs>
        <w:tab w:val="center" w:pos="4536"/>
        <w:tab w:val="right" w:pos="9072"/>
      </w:tabs>
    </w:pPr>
  </w:style>
  <w:style w:type="paragraph" w:styleId="Notedebasdepage">
    <w:name w:val="footnote text"/>
    <w:basedOn w:val="Normal"/>
    <w:semiHidden/>
    <w:rsid w:val="003D6C71"/>
    <w:rPr>
      <w:sz w:val="20"/>
      <w:szCs w:val="20"/>
    </w:rPr>
  </w:style>
  <w:style w:type="character" w:styleId="Appelnotedebasdep">
    <w:name w:val="footnote reference"/>
    <w:semiHidden/>
    <w:rsid w:val="003D6C71"/>
    <w:rPr>
      <w:vertAlign w:val="superscript"/>
    </w:rPr>
  </w:style>
  <w:style w:type="character" w:styleId="Marquedecommentaire">
    <w:name w:val="annotation reference"/>
    <w:semiHidden/>
    <w:rsid w:val="006B65B8"/>
    <w:rPr>
      <w:sz w:val="16"/>
      <w:szCs w:val="16"/>
    </w:rPr>
  </w:style>
  <w:style w:type="paragraph" w:styleId="Commentaire">
    <w:name w:val="annotation text"/>
    <w:basedOn w:val="Normal"/>
    <w:semiHidden/>
    <w:rsid w:val="006B65B8"/>
    <w:rPr>
      <w:sz w:val="20"/>
      <w:szCs w:val="20"/>
    </w:rPr>
  </w:style>
  <w:style w:type="paragraph" w:styleId="Objetducommentaire">
    <w:name w:val="annotation subject"/>
    <w:basedOn w:val="Commentaire"/>
    <w:next w:val="Commentaire"/>
    <w:semiHidden/>
    <w:rsid w:val="006B65B8"/>
    <w:rPr>
      <w:b/>
      <w:bCs/>
    </w:rPr>
  </w:style>
  <w:style w:type="paragraph" w:styleId="Textedebulles">
    <w:name w:val="Balloon Text"/>
    <w:basedOn w:val="Normal"/>
    <w:semiHidden/>
    <w:rsid w:val="006B65B8"/>
    <w:rPr>
      <w:rFonts w:ascii="Tahoma" w:hAnsi="Tahoma" w:cs="Tahoma"/>
      <w:sz w:val="16"/>
      <w:szCs w:val="16"/>
    </w:rPr>
  </w:style>
  <w:style w:type="paragraph" w:styleId="Paragraphedeliste">
    <w:name w:val="List Paragraph"/>
    <w:basedOn w:val="Normal"/>
    <w:uiPriority w:val="34"/>
    <w:qFormat/>
    <w:rsid w:val="0035136C"/>
    <w:pPr>
      <w:ind w:left="708"/>
    </w:pPr>
  </w:style>
  <w:style w:type="paragraph" w:customStyle="1" w:styleId="CarCar">
    <w:name w:val="Car Car"/>
    <w:basedOn w:val="Normal"/>
    <w:rsid w:val="00F40887"/>
    <w:pPr>
      <w:spacing w:after="160" w:line="240" w:lineRule="exact"/>
    </w:pPr>
    <w:rPr>
      <w:rFonts w:ascii="Tahoma" w:eastAsia="Times New Roman" w:hAnsi="Tahoma" w:cs="Tahoma"/>
      <w:sz w:val="20"/>
      <w:szCs w:val="20"/>
      <w:lang w:val="en-US" w:eastAsia="en-US"/>
    </w:rPr>
  </w:style>
  <w:style w:type="paragraph" w:styleId="Rvision">
    <w:name w:val="Revision"/>
    <w:hidden/>
    <w:uiPriority w:val="99"/>
    <w:semiHidden/>
    <w:rsid w:val="00DD1200"/>
    <w:rPr>
      <w:rFonts w:eastAsia="MS Mincho"/>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724065">
      <w:bodyDiv w:val="1"/>
      <w:marLeft w:val="0"/>
      <w:marRight w:val="0"/>
      <w:marTop w:val="0"/>
      <w:marBottom w:val="0"/>
      <w:divBdr>
        <w:top w:val="none" w:sz="0" w:space="0" w:color="auto"/>
        <w:left w:val="none" w:sz="0" w:space="0" w:color="auto"/>
        <w:bottom w:val="none" w:sz="0" w:space="0" w:color="auto"/>
        <w:right w:val="none" w:sz="0" w:space="0" w:color="auto"/>
      </w:divBdr>
    </w:div>
    <w:div w:id="494993865">
      <w:bodyDiv w:val="1"/>
      <w:marLeft w:val="0"/>
      <w:marRight w:val="0"/>
      <w:marTop w:val="0"/>
      <w:marBottom w:val="0"/>
      <w:divBdr>
        <w:top w:val="none" w:sz="0" w:space="0" w:color="auto"/>
        <w:left w:val="none" w:sz="0" w:space="0" w:color="auto"/>
        <w:bottom w:val="none" w:sz="0" w:space="0" w:color="auto"/>
        <w:right w:val="none" w:sz="0" w:space="0" w:color="auto"/>
      </w:divBdr>
    </w:div>
    <w:div w:id="814227019">
      <w:bodyDiv w:val="1"/>
      <w:marLeft w:val="0"/>
      <w:marRight w:val="0"/>
      <w:marTop w:val="0"/>
      <w:marBottom w:val="0"/>
      <w:divBdr>
        <w:top w:val="none" w:sz="0" w:space="0" w:color="auto"/>
        <w:left w:val="none" w:sz="0" w:space="0" w:color="auto"/>
        <w:bottom w:val="none" w:sz="0" w:space="0" w:color="auto"/>
        <w:right w:val="none" w:sz="0" w:space="0" w:color="auto"/>
      </w:divBdr>
    </w:div>
    <w:div w:id="1186753039">
      <w:bodyDiv w:val="1"/>
      <w:marLeft w:val="0"/>
      <w:marRight w:val="0"/>
      <w:marTop w:val="0"/>
      <w:marBottom w:val="0"/>
      <w:divBdr>
        <w:top w:val="none" w:sz="0" w:space="0" w:color="auto"/>
        <w:left w:val="none" w:sz="0" w:space="0" w:color="auto"/>
        <w:bottom w:val="none" w:sz="0" w:space="0" w:color="auto"/>
        <w:right w:val="none" w:sz="0" w:space="0" w:color="auto"/>
      </w:divBdr>
    </w:div>
    <w:div w:id="1580141519">
      <w:bodyDiv w:val="1"/>
      <w:marLeft w:val="0"/>
      <w:marRight w:val="0"/>
      <w:marTop w:val="0"/>
      <w:marBottom w:val="0"/>
      <w:divBdr>
        <w:top w:val="none" w:sz="0" w:space="0" w:color="auto"/>
        <w:left w:val="none" w:sz="0" w:space="0" w:color="auto"/>
        <w:bottom w:val="none" w:sz="0" w:space="0" w:color="auto"/>
        <w:right w:val="none" w:sz="0" w:space="0" w:color="auto"/>
      </w:divBdr>
    </w:div>
    <w:div w:id="1792745429">
      <w:bodyDiv w:val="1"/>
      <w:marLeft w:val="0"/>
      <w:marRight w:val="0"/>
      <w:marTop w:val="0"/>
      <w:marBottom w:val="0"/>
      <w:divBdr>
        <w:top w:val="none" w:sz="0" w:space="0" w:color="auto"/>
        <w:left w:val="none" w:sz="0" w:space="0" w:color="auto"/>
        <w:bottom w:val="none" w:sz="0" w:space="0" w:color="auto"/>
        <w:right w:val="none" w:sz="0" w:space="0" w:color="auto"/>
      </w:divBdr>
    </w:div>
    <w:div w:id="1994481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4EF0EF-DD57-4DFC-B7FA-BE5F3969A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18</Pages>
  <Words>3951</Words>
  <Characters>21731</Characters>
  <Application>Microsoft Office Word</Application>
  <DocSecurity>0</DocSecurity>
  <Lines>181</Lines>
  <Paragraphs>51</Paragraphs>
  <ScaleCrop>false</ScaleCrop>
  <HeadingPairs>
    <vt:vector size="2" baseType="variant">
      <vt:variant>
        <vt:lpstr>Titre</vt:lpstr>
      </vt:variant>
      <vt:variant>
        <vt:i4>1</vt:i4>
      </vt:variant>
    </vt:vector>
  </HeadingPairs>
  <TitlesOfParts>
    <vt:vector size="1" baseType="lpstr">
      <vt:lpstr>La présente convention est conclue entre :</vt:lpstr>
    </vt:vector>
  </TitlesOfParts>
  <Company>DGAC</Company>
  <LinksUpToDate>false</LinksUpToDate>
  <CharactersWithSpaces>25631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présente convention est conclue entre :</dc:title>
  <dc:creator>Siège</dc:creator>
  <cp:lastModifiedBy>Veronique Ismael</cp:lastModifiedBy>
  <cp:revision>85</cp:revision>
  <cp:lastPrinted>2010-10-08T06:49:00Z</cp:lastPrinted>
  <dcterms:created xsi:type="dcterms:W3CDTF">2017-07-04T09:37:00Z</dcterms:created>
  <dcterms:modified xsi:type="dcterms:W3CDTF">2025-08-05T09:57:00Z</dcterms:modified>
</cp:coreProperties>
</file>